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9556D" w14:textId="77777777" w:rsidR="004A2B2B" w:rsidRPr="004A2B2B" w:rsidRDefault="004A2B2B" w:rsidP="004A2B2B">
      <w:pPr>
        <w:pStyle w:val="Frspaiere"/>
        <w:jc w:val="right"/>
        <w:rPr>
          <w:rFonts w:cs="Times New Roman"/>
          <w:b w:val="0"/>
          <w:bCs/>
          <w:szCs w:val="24"/>
          <w:lang w:val="ru-RU"/>
        </w:rPr>
      </w:pPr>
      <w:bookmarkStart w:id="0" w:name="_Hlk207268746"/>
      <w:r w:rsidRPr="004A2B2B">
        <w:rPr>
          <w:rFonts w:cs="Times New Roman"/>
          <w:b w:val="0"/>
          <w:bCs/>
          <w:szCs w:val="24"/>
          <w:lang w:val="ru-RU"/>
        </w:rPr>
        <w:t>Приложение № 4</w:t>
      </w:r>
    </w:p>
    <w:p w14:paraId="20E6FD8D" w14:textId="77777777" w:rsidR="004A2B2B" w:rsidRDefault="004A2B2B" w:rsidP="004A2B2B">
      <w:pPr>
        <w:pStyle w:val="Frspaiere"/>
        <w:ind w:firstLine="0"/>
        <w:jc w:val="right"/>
        <w:rPr>
          <w:rFonts w:cs="Times New Roman"/>
          <w:b w:val="0"/>
          <w:bCs/>
          <w:szCs w:val="24"/>
        </w:rPr>
      </w:pPr>
      <w:r w:rsidRPr="004A2B2B">
        <w:rPr>
          <w:rFonts w:cs="Times New Roman"/>
          <w:b w:val="0"/>
          <w:bCs/>
          <w:szCs w:val="24"/>
          <w:lang w:val="ru-RU"/>
        </w:rPr>
        <w:t>к Санитарному регламенту о материалах</w:t>
      </w:r>
    </w:p>
    <w:p w14:paraId="226F34B4" w14:textId="46114DEB" w:rsidR="004A2B2B" w:rsidRPr="004A2B2B" w:rsidRDefault="004A2B2B" w:rsidP="004A2B2B">
      <w:pPr>
        <w:pStyle w:val="Frspaiere"/>
        <w:ind w:firstLine="0"/>
        <w:jc w:val="right"/>
        <w:rPr>
          <w:rFonts w:cs="Times New Roman"/>
          <w:b w:val="0"/>
          <w:bCs/>
          <w:szCs w:val="24"/>
          <w:lang w:val="ru-RU"/>
        </w:rPr>
      </w:pPr>
      <w:r w:rsidRPr="004A2B2B">
        <w:rPr>
          <w:rFonts w:cs="Times New Roman"/>
          <w:b w:val="0"/>
          <w:bCs/>
          <w:szCs w:val="24"/>
          <w:lang w:val="ru-RU"/>
        </w:rPr>
        <w:t xml:space="preserve"> и веществах, вступающих в контакт </w:t>
      </w:r>
      <w:r w:rsidRPr="004A2B2B">
        <w:rPr>
          <w:rFonts w:cs="Times New Roman"/>
          <w:b w:val="0"/>
          <w:bCs/>
          <w:szCs w:val="24"/>
          <w:lang w:val="ru-RU"/>
        </w:rPr>
        <w:br/>
        <w:t>с питьевой водой, и методах испытаний</w:t>
      </w:r>
    </w:p>
    <w:bookmarkEnd w:id="0"/>
    <w:p w14:paraId="1F45ABD8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</w:p>
    <w:p w14:paraId="3E0E19D1" w14:textId="5899C125" w:rsidR="004A2B2B" w:rsidRPr="004A2B2B" w:rsidRDefault="004A2B2B" w:rsidP="004A2B2B">
      <w:pPr>
        <w:ind w:firstLine="0"/>
        <w:jc w:val="center"/>
        <w:rPr>
          <w:rFonts w:cstheme="majorBidi"/>
          <w:b/>
          <w:sz w:val="24"/>
          <w:szCs w:val="24"/>
          <w:lang w:val="en-US"/>
        </w:rPr>
      </w:pPr>
      <w:r w:rsidRPr="004A2B2B">
        <w:rPr>
          <w:rFonts w:cstheme="majorBidi"/>
          <w:b/>
          <w:sz w:val="24"/>
          <w:szCs w:val="24"/>
        </w:rPr>
        <w:t xml:space="preserve">ЭМАЛЬ, КЕРАМИЧЕСКИЕ МАТЕРИАЛЫ </w:t>
      </w:r>
      <w:r w:rsidRPr="004A2B2B">
        <w:rPr>
          <w:rFonts w:cstheme="majorBidi"/>
          <w:b/>
          <w:sz w:val="24"/>
          <w:szCs w:val="24"/>
        </w:rPr>
        <w:br/>
        <w:t xml:space="preserve">И ДРУГИЕ НЕОРГАНИЧЕСКИЕ МАТЕРИАЛЫ </w:t>
      </w:r>
      <w:r w:rsidRPr="004A2B2B">
        <w:rPr>
          <w:rFonts w:cstheme="majorBidi"/>
          <w:b/>
          <w:sz w:val="24"/>
          <w:szCs w:val="24"/>
        </w:rPr>
        <w:br/>
        <w:t>(ВКЛЮЧАЯ СТЕКЛО)</w:t>
      </w:r>
    </w:p>
    <w:p w14:paraId="5257C2C7" w14:textId="1D9387C1" w:rsidR="004A2B2B" w:rsidRPr="004A2B2B" w:rsidRDefault="004A2B2B" w:rsidP="004A2B2B">
      <w:pPr>
        <w:ind w:firstLine="0"/>
        <w:jc w:val="center"/>
        <w:rPr>
          <w:rFonts w:cstheme="majorBidi"/>
          <w:b/>
          <w:sz w:val="24"/>
          <w:szCs w:val="24"/>
          <w:lang w:val="en-US"/>
        </w:rPr>
      </w:pPr>
      <w:r w:rsidRPr="004A2B2B">
        <w:rPr>
          <w:rFonts w:cstheme="majorBidi"/>
          <w:b/>
          <w:sz w:val="24"/>
          <w:szCs w:val="24"/>
        </w:rPr>
        <w:t>Общая процедура испытания и приемки эмали, керамических материалов и других неорганических материалов (включая стекло), используемых в конечном изделии</w:t>
      </w:r>
    </w:p>
    <w:p w14:paraId="0BD830DA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1.</w:t>
      </w:r>
      <w:r w:rsidRPr="004A2B2B">
        <w:rPr>
          <w:rFonts w:cstheme="majorBidi"/>
          <w:sz w:val="24"/>
          <w:szCs w:val="24"/>
        </w:rPr>
        <w:t> Общая процедура испытаний и приемки эмалей, других стеклянных материалов, керамических материалов и других конечных неорганических материалов, используемых в изделии, включает следующие этапы:</w:t>
      </w:r>
    </w:p>
    <w:p w14:paraId="7FD6C587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1.1. этап 1 – Определение соответствующих веществ и других соответствующих параметров в зависимости от:</w:t>
      </w:r>
    </w:p>
    <w:p w14:paraId="6D64BDEE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1.1.1. классификации изделий или компонентов по группам риска и соответствующих требований к испытаниям;</w:t>
      </w:r>
    </w:p>
    <w:p w14:paraId="4CD75742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1.1.2. исследование состава;</w:t>
      </w:r>
    </w:p>
    <w:p w14:paraId="7C3B6C4B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1.2. этап 2 – Проведение испытаний:</w:t>
      </w:r>
    </w:p>
    <w:p w14:paraId="0EB679FA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1.2.1. испытание состава;</w:t>
      </w:r>
    </w:p>
    <w:p w14:paraId="097221B3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1.2.2. испытание миграции для соответствующих веществ;</w:t>
      </w:r>
    </w:p>
    <w:p w14:paraId="200B780D" w14:textId="3FCBAC63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1.3. этап 3 – Соблюдение критериев приемки/отклонения.</w:t>
      </w:r>
    </w:p>
    <w:p w14:paraId="44B53B6C" w14:textId="03A1316D" w:rsidR="004A2B2B" w:rsidRPr="004A2B2B" w:rsidRDefault="004A2B2B" w:rsidP="004A2B2B">
      <w:pPr>
        <w:ind w:firstLine="0"/>
        <w:jc w:val="center"/>
        <w:rPr>
          <w:rFonts w:cstheme="majorBidi"/>
          <w:b/>
          <w:sz w:val="24"/>
          <w:szCs w:val="24"/>
          <w:lang w:val="en-US"/>
        </w:rPr>
      </w:pPr>
      <w:r w:rsidRPr="004A2B2B">
        <w:rPr>
          <w:rFonts w:cstheme="majorBidi"/>
          <w:b/>
          <w:sz w:val="24"/>
          <w:szCs w:val="24"/>
        </w:rPr>
        <w:t xml:space="preserve">Определение соответствующих веществ </w:t>
      </w:r>
      <w:r w:rsidRPr="004A2B2B">
        <w:rPr>
          <w:rFonts w:cstheme="majorBidi"/>
          <w:b/>
          <w:sz w:val="24"/>
          <w:szCs w:val="24"/>
        </w:rPr>
        <w:br/>
        <w:t>и других соответствующих параметров</w:t>
      </w:r>
    </w:p>
    <w:p w14:paraId="77B58542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2.</w:t>
      </w:r>
      <w:r w:rsidRPr="004A2B2B">
        <w:rPr>
          <w:rFonts w:cstheme="majorBidi"/>
          <w:sz w:val="24"/>
          <w:szCs w:val="24"/>
        </w:rPr>
        <w:t> Классификация изделий или компонентов по группам риска и соответствующие требования к испытаниям</w:t>
      </w:r>
    </w:p>
    <w:p w14:paraId="09C62BD1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2.1. Для каждого изделия или компонента сборного изделия определяется группа изделий и соответствующий коэффициент преобразования (КП) в соответствии с таблицей 5 приложения № 1. На основании определенного КП изделие или компонент классифицируется в группу риска (ГР) в соответствии с таблицей 1.</w:t>
      </w:r>
    </w:p>
    <w:p w14:paraId="128BA7B4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2.2. Классификация в ГР определяет соответствующие испытательные требования, включая другие соответствующие параметры. Процедура испытаний, применимая к конечным материалам, вытекает из использования этих материалов в изделиях или компонентах сборных изделий.</w:t>
      </w:r>
    </w:p>
    <w:p w14:paraId="12AD4F67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2.3. Незначительные компоненты считаются компонентами, классифицированными в ГР4, к которым могут применяться сниженные испытательные требования, как показано в таблице 7, по сравнению с испытательными требованиями для ГР1, ГР2 или ГР3.</w:t>
      </w:r>
    </w:p>
    <w:p w14:paraId="1DCBDFF0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2.4. Для сборного изделия необходимо определить его компоненты. Для каждого компонента сборного изделия определяется группа изделий. Если сборное изделие состоит из компонентов, изготовленных из одного и того же конечного материала, доля увлажненной поверхности этих компонентов суммируется для определения группы изделий в соответствии с таблицей 5 приложения № 1.</w:t>
      </w:r>
    </w:p>
    <w:p w14:paraId="315AB289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2.5. Испытания проводятся на конечных материалах, используемых в изделиях, контактирующих с питьевой водой.</w:t>
      </w:r>
    </w:p>
    <w:p w14:paraId="7F7FFC05" w14:textId="77777777" w:rsidR="004A2B2B" w:rsidRPr="004A2B2B" w:rsidRDefault="004A2B2B" w:rsidP="004A2B2B">
      <w:pPr>
        <w:jc w:val="right"/>
        <w:rPr>
          <w:rFonts w:cstheme="majorBidi"/>
          <w:sz w:val="24"/>
          <w:szCs w:val="24"/>
        </w:rPr>
      </w:pPr>
    </w:p>
    <w:p w14:paraId="300A0D6B" w14:textId="77777777" w:rsidR="004A2B2B" w:rsidRDefault="004A2B2B" w:rsidP="004A2B2B">
      <w:pPr>
        <w:jc w:val="right"/>
        <w:rPr>
          <w:rFonts w:cstheme="majorBidi"/>
          <w:sz w:val="24"/>
          <w:szCs w:val="24"/>
          <w:lang w:val="en-US"/>
        </w:rPr>
      </w:pPr>
    </w:p>
    <w:p w14:paraId="6BF44C3E" w14:textId="59F1E5CF" w:rsidR="004A2B2B" w:rsidRPr="004A2B2B" w:rsidRDefault="004A2B2B" w:rsidP="004A2B2B">
      <w:pPr>
        <w:jc w:val="right"/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lastRenderedPageBreak/>
        <w:t>Таблица 1</w:t>
      </w:r>
    </w:p>
    <w:p w14:paraId="161DCD41" w14:textId="77777777" w:rsidR="004A2B2B" w:rsidRPr="004A2B2B" w:rsidRDefault="004A2B2B" w:rsidP="004A2B2B">
      <w:pPr>
        <w:rPr>
          <w:rFonts w:cstheme="majorBidi"/>
          <w:b/>
          <w:bCs/>
          <w:sz w:val="24"/>
          <w:szCs w:val="24"/>
        </w:rPr>
      </w:pPr>
    </w:p>
    <w:p w14:paraId="1057EB4B" w14:textId="77777777" w:rsidR="004A2B2B" w:rsidRPr="004A2B2B" w:rsidRDefault="004A2B2B" w:rsidP="004A2B2B">
      <w:pPr>
        <w:ind w:firstLine="0"/>
        <w:jc w:val="center"/>
        <w:rPr>
          <w:rFonts w:cstheme="majorBidi"/>
          <w:b/>
          <w:bCs/>
          <w:sz w:val="24"/>
          <w:szCs w:val="24"/>
        </w:rPr>
      </w:pPr>
      <w:r w:rsidRPr="004A2B2B">
        <w:rPr>
          <w:rFonts w:cstheme="majorBidi"/>
          <w:b/>
          <w:bCs/>
          <w:sz w:val="24"/>
          <w:szCs w:val="24"/>
        </w:rPr>
        <w:t xml:space="preserve">Требования к испытаниям на основе риска для продуктов </w:t>
      </w:r>
      <w:r w:rsidRPr="004A2B2B">
        <w:rPr>
          <w:rFonts w:cstheme="majorBidi"/>
          <w:b/>
          <w:bCs/>
          <w:sz w:val="24"/>
          <w:szCs w:val="24"/>
        </w:rPr>
        <w:br/>
        <w:t>или компонентов собранных продуктов</w:t>
      </w:r>
    </w:p>
    <w:p w14:paraId="17EA43F6" w14:textId="77777777" w:rsidR="004A2B2B" w:rsidRPr="004A2B2B" w:rsidRDefault="004A2B2B" w:rsidP="004A2B2B">
      <w:pPr>
        <w:rPr>
          <w:rFonts w:cstheme="majorBidi"/>
          <w:b/>
          <w:bCs/>
          <w:sz w:val="24"/>
          <w:szCs w:val="24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04"/>
        <w:gridCol w:w="1947"/>
        <w:gridCol w:w="1525"/>
        <w:gridCol w:w="3129"/>
      </w:tblGrid>
      <w:tr w:rsidR="004A2B2B" w:rsidRPr="004A2B2B" w14:paraId="55DA96F6" w14:textId="77777777" w:rsidTr="004A2B2B">
        <w:trPr>
          <w:trHeight w:hRule="exact" w:val="840"/>
          <w:jc w:val="center"/>
        </w:trPr>
        <w:tc>
          <w:tcPr>
            <w:tcW w:w="1127" w:type="pct"/>
            <w:shd w:val="clear" w:color="auto" w:fill="FFFFFF" w:themeFill="background1"/>
            <w:vAlign w:val="center"/>
          </w:tcPr>
          <w:p w14:paraId="113DF230" w14:textId="77777777" w:rsidR="004A2B2B" w:rsidRPr="004A2B2B" w:rsidRDefault="004A2B2B" w:rsidP="004A2B2B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Группа риска</w:t>
            </w:r>
          </w:p>
        </w:tc>
        <w:tc>
          <w:tcPr>
            <w:tcW w:w="1152" w:type="pct"/>
            <w:shd w:val="clear" w:color="auto" w:fill="FFFFFF" w:themeFill="background1"/>
            <w:vAlign w:val="center"/>
          </w:tcPr>
          <w:p w14:paraId="1080C94C" w14:textId="77777777" w:rsidR="004A2B2B" w:rsidRPr="004A2B2B" w:rsidRDefault="004A2B2B" w:rsidP="004A2B2B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Коэффициент преобразования в д/дм</w:t>
            </w:r>
          </w:p>
        </w:tc>
        <w:tc>
          <w:tcPr>
            <w:tcW w:w="874" w:type="pct"/>
            <w:shd w:val="clear" w:color="auto" w:fill="FFFFFF" w:themeFill="background1"/>
          </w:tcPr>
          <w:p w14:paraId="37B72261" w14:textId="77777777" w:rsidR="004A2B2B" w:rsidRPr="004A2B2B" w:rsidRDefault="004A2B2B" w:rsidP="004A2B2B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Исследование и проверка состава</w:t>
            </w:r>
          </w:p>
        </w:tc>
        <w:tc>
          <w:tcPr>
            <w:tcW w:w="1848" w:type="pct"/>
            <w:shd w:val="clear" w:color="auto" w:fill="FFFFFF" w:themeFill="background1"/>
            <w:vAlign w:val="center"/>
          </w:tcPr>
          <w:p w14:paraId="07AEBECE" w14:textId="77777777" w:rsidR="004A2B2B" w:rsidRPr="004A2B2B" w:rsidRDefault="004A2B2B" w:rsidP="004A2B2B">
            <w:pPr>
              <w:ind w:firstLine="0"/>
              <w:jc w:val="center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Специальное испытание миграции</w:t>
            </w:r>
          </w:p>
        </w:tc>
      </w:tr>
      <w:tr w:rsidR="004A2B2B" w:rsidRPr="004A2B2B" w14:paraId="64076547" w14:textId="77777777" w:rsidTr="004A2B2B">
        <w:trPr>
          <w:trHeight w:hRule="exact" w:val="547"/>
          <w:jc w:val="center"/>
        </w:trPr>
        <w:tc>
          <w:tcPr>
            <w:tcW w:w="1127" w:type="pct"/>
            <w:shd w:val="clear" w:color="auto" w:fill="FFFFFF" w:themeFill="background1"/>
            <w:vAlign w:val="center"/>
          </w:tcPr>
          <w:p w14:paraId="3DDE4910" w14:textId="77777777" w:rsidR="004A2B2B" w:rsidRPr="004A2B2B" w:rsidRDefault="004A2B2B" w:rsidP="004A2B2B">
            <w:pPr>
              <w:rPr>
                <w:rFonts w:cstheme="majorBidi"/>
                <w:b/>
                <w:bCs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ГР1</w:t>
            </w:r>
          </w:p>
        </w:tc>
        <w:tc>
          <w:tcPr>
            <w:tcW w:w="1152" w:type="pct"/>
            <w:shd w:val="clear" w:color="auto" w:fill="FFFFFF" w:themeFill="background1"/>
            <w:vAlign w:val="center"/>
          </w:tcPr>
          <w:p w14:paraId="13A5C1A8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≥ 4</w:t>
            </w:r>
          </w:p>
        </w:tc>
        <w:tc>
          <w:tcPr>
            <w:tcW w:w="874" w:type="pct"/>
            <w:vMerge w:val="restart"/>
            <w:shd w:val="clear" w:color="auto" w:fill="FFFFFF" w:themeFill="background1"/>
          </w:tcPr>
          <w:p w14:paraId="59031183" w14:textId="77777777" w:rsidR="004A2B2B" w:rsidRPr="004A2B2B" w:rsidRDefault="004A2B2B" w:rsidP="004A2B2B">
            <w:pPr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Да</w:t>
            </w:r>
          </w:p>
        </w:tc>
        <w:tc>
          <w:tcPr>
            <w:tcW w:w="1848" w:type="pct"/>
            <w:vMerge w:val="restart"/>
            <w:shd w:val="clear" w:color="auto" w:fill="FFFFFF" w:themeFill="background1"/>
          </w:tcPr>
          <w:p w14:paraId="65C3B35E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Да, для каждого изделия или компонента. Эмали:</w:t>
            </w:r>
          </w:p>
          <w:p w14:paraId="1FC502C1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образец(ы), изготовленный(ые) эмальером(ами)</w:t>
            </w:r>
          </w:p>
        </w:tc>
      </w:tr>
      <w:tr w:rsidR="004A2B2B" w:rsidRPr="004A2B2B" w14:paraId="37E78F47" w14:textId="77777777" w:rsidTr="004A2B2B">
        <w:trPr>
          <w:trHeight w:hRule="exact" w:val="1024"/>
          <w:jc w:val="center"/>
        </w:trPr>
        <w:tc>
          <w:tcPr>
            <w:tcW w:w="1127" w:type="pct"/>
            <w:shd w:val="clear" w:color="auto" w:fill="FFFFFF" w:themeFill="background1"/>
            <w:vAlign w:val="center"/>
          </w:tcPr>
          <w:p w14:paraId="0AC5335B" w14:textId="77777777" w:rsidR="004A2B2B" w:rsidRPr="004A2B2B" w:rsidRDefault="004A2B2B" w:rsidP="004A2B2B">
            <w:pPr>
              <w:rPr>
                <w:rFonts w:cstheme="majorBidi"/>
                <w:b/>
                <w:bCs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ГР2</w:t>
            </w:r>
          </w:p>
        </w:tc>
        <w:tc>
          <w:tcPr>
            <w:tcW w:w="1152" w:type="pct"/>
            <w:shd w:val="clear" w:color="auto" w:fill="FFFFFF" w:themeFill="background1"/>
            <w:vAlign w:val="center"/>
          </w:tcPr>
          <w:p w14:paraId="4A4FE660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≥ 0,4 и &lt; 4</w:t>
            </w:r>
          </w:p>
        </w:tc>
        <w:tc>
          <w:tcPr>
            <w:tcW w:w="874" w:type="pct"/>
            <w:vMerge/>
            <w:shd w:val="clear" w:color="auto" w:fill="FFFFFF" w:themeFill="background1"/>
          </w:tcPr>
          <w:p w14:paraId="7645D32E" w14:textId="77777777" w:rsidR="004A2B2B" w:rsidRPr="004A2B2B" w:rsidRDefault="004A2B2B" w:rsidP="004A2B2B">
            <w:pPr>
              <w:rPr>
                <w:rFonts w:cstheme="majorBidi"/>
                <w:sz w:val="24"/>
                <w:szCs w:val="24"/>
              </w:rPr>
            </w:pPr>
          </w:p>
        </w:tc>
        <w:tc>
          <w:tcPr>
            <w:tcW w:w="1848" w:type="pct"/>
            <w:vMerge/>
            <w:shd w:val="clear" w:color="auto" w:fill="FFFFFF" w:themeFill="background1"/>
          </w:tcPr>
          <w:p w14:paraId="6FC37189" w14:textId="77777777" w:rsidR="004A2B2B" w:rsidRPr="004A2B2B" w:rsidRDefault="004A2B2B" w:rsidP="004A2B2B">
            <w:pPr>
              <w:rPr>
                <w:rFonts w:cstheme="majorBidi"/>
                <w:sz w:val="24"/>
                <w:szCs w:val="24"/>
              </w:rPr>
            </w:pPr>
          </w:p>
        </w:tc>
      </w:tr>
      <w:tr w:rsidR="004A2B2B" w:rsidRPr="004A2B2B" w14:paraId="485B859F" w14:textId="77777777" w:rsidTr="004A2B2B">
        <w:trPr>
          <w:trHeight w:hRule="exact" w:val="1572"/>
          <w:jc w:val="center"/>
        </w:trPr>
        <w:tc>
          <w:tcPr>
            <w:tcW w:w="1127" w:type="pct"/>
            <w:shd w:val="clear" w:color="auto" w:fill="FFFFFF" w:themeFill="background1"/>
            <w:vAlign w:val="center"/>
          </w:tcPr>
          <w:p w14:paraId="49707008" w14:textId="77777777" w:rsidR="004A2B2B" w:rsidRPr="004A2B2B" w:rsidRDefault="004A2B2B" w:rsidP="004A2B2B">
            <w:pPr>
              <w:rPr>
                <w:rFonts w:cstheme="majorBidi"/>
                <w:b/>
                <w:bCs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ГР3</w:t>
            </w:r>
          </w:p>
        </w:tc>
        <w:tc>
          <w:tcPr>
            <w:tcW w:w="1152" w:type="pct"/>
            <w:shd w:val="clear" w:color="auto" w:fill="FFFFFF" w:themeFill="background1"/>
            <w:vAlign w:val="center"/>
          </w:tcPr>
          <w:p w14:paraId="7986C98E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≥ 0,04 и &lt; 0,4</w:t>
            </w:r>
          </w:p>
        </w:tc>
        <w:tc>
          <w:tcPr>
            <w:tcW w:w="874" w:type="pct"/>
            <w:shd w:val="clear" w:color="auto" w:fill="FFFFFF" w:themeFill="background1"/>
          </w:tcPr>
          <w:p w14:paraId="42EF46F2" w14:textId="77777777" w:rsidR="004A2B2B" w:rsidRPr="004A2B2B" w:rsidRDefault="004A2B2B" w:rsidP="004A2B2B">
            <w:pPr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Да</w:t>
            </w:r>
          </w:p>
        </w:tc>
        <w:tc>
          <w:tcPr>
            <w:tcW w:w="1848" w:type="pct"/>
            <w:shd w:val="clear" w:color="auto" w:fill="FFFFFF" w:themeFill="background1"/>
          </w:tcPr>
          <w:p w14:paraId="70817D37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Да, для каждого изделия или компонента. Эмали:</w:t>
            </w:r>
          </w:p>
          <w:p w14:paraId="32AD95E0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образец(ы), изготовленный(ые) производителем эмали</w:t>
            </w:r>
          </w:p>
        </w:tc>
      </w:tr>
      <w:tr w:rsidR="004A2B2B" w:rsidRPr="004A2B2B" w14:paraId="6496920B" w14:textId="77777777" w:rsidTr="004A2B2B">
        <w:trPr>
          <w:trHeight w:hRule="exact" w:val="555"/>
          <w:jc w:val="center"/>
        </w:trPr>
        <w:tc>
          <w:tcPr>
            <w:tcW w:w="1127" w:type="pct"/>
            <w:shd w:val="clear" w:color="auto" w:fill="FFFFFF" w:themeFill="background1"/>
            <w:vAlign w:val="center"/>
          </w:tcPr>
          <w:p w14:paraId="7A21F708" w14:textId="77777777" w:rsidR="004A2B2B" w:rsidRPr="004A2B2B" w:rsidRDefault="004A2B2B" w:rsidP="004A2B2B">
            <w:pPr>
              <w:rPr>
                <w:rFonts w:cstheme="majorBidi"/>
                <w:b/>
                <w:bCs/>
                <w:sz w:val="24"/>
                <w:szCs w:val="24"/>
              </w:rPr>
            </w:pPr>
            <w:r w:rsidRPr="004A2B2B">
              <w:rPr>
                <w:rFonts w:cstheme="majorBidi"/>
                <w:b/>
                <w:bCs/>
                <w:sz w:val="24"/>
                <w:szCs w:val="24"/>
              </w:rPr>
              <w:t>ГР4</w:t>
            </w:r>
          </w:p>
        </w:tc>
        <w:tc>
          <w:tcPr>
            <w:tcW w:w="1152" w:type="pct"/>
            <w:shd w:val="clear" w:color="auto" w:fill="FFFFFF" w:themeFill="background1"/>
            <w:vAlign w:val="center"/>
          </w:tcPr>
          <w:p w14:paraId="040ED8AF" w14:textId="77777777" w:rsidR="004A2B2B" w:rsidRPr="004A2B2B" w:rsidRDefault="004A2B2B" w:rsidP="004A2B2B">
            <w:pPr>
              <w:ind w:firstLine="0"/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&lt; 0,04</w:t>
            </w:r>
          </w:p>
        </w:tc>
        <w:tc>
          <w:tcPr>
            <w:tcW w:w="874" w:type="pct"/>
            <w:shd w:val="clear" w:color="auto" w:fill="FFFFFF" w:themeFill="background1"/>
          </w:tcPr>
          <w:p w14:paraId="489B5EE8" w14:textId="77777777" w:rsidR="004A2B2B" w:rsidRPr="004A2B2B" w:rsidRDefault="004A2B2B" w:rsidP="004A2B2B">
            <w:pPr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Да</w:t>
            </w:r>
          </w:p>
        </w:tc>
        <w:tc>
          <w:tcPr>
            <w:tcW w:w="1848" w:type="pct"/>
            <w:shd w:val="clear" w:color="auto" w:fill="FFFFFF" w:themeFill="background1"/>
          </w:tcPr>
          <w:p w14:paraId="0B94C001" w14:textId="77777777" w:rsidR="004A2B2B" w:rsidRPr="004A2B2B" w:rsidRDefault="004A2B2B" w:rsidP="004A2B2B">
            <w:pPr>
              <w:rPr>
                <w:rFonts w:cstheme="majorBidi"/>
                <w:sz w:val="24"/>
                <w:szCs w:val="24"/>
              </w:rPr>
            </w:pPr>
            <w:r w:rsidRPr="004A2B2B">
              <w:rPr>
                <w:rFonts w:cstheme="majorBidi"/>
                <w:sz w:val="24"/>
                <w:szCs w:val="24"/>
              </w:rPr>
              <w:t>Нет</w:t>
            </w:r>
          </w:p>
        </w:tc>
      </w:tr>
    </w:tbl>
    <w:p w14:paraId="7F6DAC39" w14:textId="77777777" w:rsidR="004A2B2B" w:rsidRPr="004A2B2B" w:rsidRDefault="004A2B2B" w:rsidP="004A2B2B">
      <w:pPr>
        <w:rPr>
          <w:rFonts w:cstheme="majorBidi"/>
          <w:b/>
          <w:bCs/>
          <w:sz w:val="24"/>
          <w:szCs w:val="24"/>
        </w:rPr>
      </w:pPr>
    </w:p>
    <w:p w14:paraId="2D750D0E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3.</w:t>
      </w:r>
      <w:r w:rsidRPr="004A2B2B">
        <w:rPr>
          <w:rFonts w:cstheme="majorBidi"/>
          <w:sz w:val="24"/>
          <w:szCs w:val="24"/>
        </w:rPr>
        <w:t> Исследование состава</w:t>
      </w:r>
    </w:p>
    <w:p w14:paraId="7E829FC8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3.1.</w:t>
      </w:r>
      <w:r w:rsidRPr="004A2B2B">
        <w:rPr>
          <w:rFonts w:cstheme="majorBidi"/>
          <w:i/>
          <w:sz w:val="24"/>
          <w:szCs w:val="24"/>
        </w:rPr>
        <w:t> Необходимая информация</w:t>
      </w:r>
    </w:p>
    <w:p w14:paraId="419F80AB" w14:textId="0CB185D6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Для конечных материалов требуется полный состав с интервалом всех составляющих, превышающих 0,02 % (м/м). Декларируется содержание свинца и кадмия.</w:t>
      </w:r>
    </w:p>
    <w:p w14:paraId="1F17FE75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3.2. </w:t>
      </w:r>
      <w:r w:rsidRPr="004A2B2B">
        <w:rPr>
          <w:rFonts w:cstheme="majorBidi"/>
          <w:i/>
          <w:sz w:val="24"/>
          <w:szCs w:val="24"/>
        </w:rPr>
        <w:t>Допустимые составы</w:t>
      </w:r>
    </w:p>
    <w:p w14:paraId="76899C47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 xml:space="preserve">Составы конечных материалов должны соответствовать составам, указанным в перечне составов для эмалей, керамических материалов и других неорганических материалов, утвержденных в соответствии с пунктом 6 </w:t>
      </w:r>
      <w:r w:rsidRPr="004A2B2B">
        <w:rPr>
          <w:rFonts w:cstheme="majorBidi"/>
          <w:iCs/>
          <w:sz w:val="24"/>
          <w:szCs w:val="24"/>
        </w:rPr>
        <w:t>Регламента</w:t>
      </w:r>
      <w:r w:rsidRPr="004A2B2B">
        <w:rPr>
          <w:rFonts w:cstheme="majorBidi"/>
          <w:sz w:val="24"/>
          <w:szCs w:val="24"/>
        </w:rPr>
        <w:t>, и соответствовать ограничениям, указанным в настоящем перечне, в отношении их использования для определенных групп изделий и использования этих изделий.</w:t>
      </w:r>
    </w:p>
    <w:p w14:paraId="45450089" w14:textId="77777777" w:rsidR="004A2B2B" w:rsidRPr="004A2B2B" w:rsidRDefault="004A2B2B" w:rsidP="004A2B2B">
      <w:pPr>
        <w:rPr>
          <w:rFonts w:cstheme="majorBidi"/>
          <w:sz w:val="24"/>
          <w:szCs w:val="24"/>
          <w:lang w:val="ru-MD"/>
        </w:rPr>
      </w:pPr>
      <w:r w:rsidRPr="004A2B2B">
        <w:rPr>
          <w:rFonts w:cstheme="majorBidi"/>
          <w:sz w:val="24"/>
          <w:szCs w:val="24"/>
        </w:rPr>
        <w:t>Содержание свинца и кадмия должно быть менее 0,02 % (м/м).</w:t>
      </w:r>
    </w:p>
    <w:p w14:paraId="7FEEB48A" w14:textId="7341FAF2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iCs/>
          <w:sz w:val="24"/>
          <w:szCs w:val="24"/>
        </w:rPr>
        <w:t>3.3.</w:t>
      </w:r>
      <w:r w:rsidRPr="004A2B2B">
        <w:rPr>
          <w:rFonts w:cstheme="majorBidi"/>
          <w:i/>
          <w:sz w:val="24"/>
          <w:szCs w:val="24"/>
        </w:rPr>
        <w:t xml:space="preserve"> Соответствующие вещества </w:t>
      </w:r>
    </w:p>
    <w:p w14:paraId="7139B65A" w14:textId="033273E5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Соответствующие вещества, которые должны анализироваться в миграционных водах, указаны для каждого из составов, утвержденных в соответствии с пунктом 6 Регламента.</w:t>
      </w:r>
    </w:p>
    <w:p w14:paraId="2A5AC3F7" w14:textId="4194CFCA" w:rsidR="004A2B2B" w:rsidRPr="004A2B2B" w:rsidRDefault="004A2B2B" w:rsidP="004A2B2B">
      <w:pPr>
        <w:ind w:firstLine="0"/>
        <w:jc w:val="center"/>
        <w:rPr>
          <w:rFonts w:cstheme="majorBidi"/>
          <w:b/>
          <w:sz w:val="24"/>
          <w:szCs w:val="24"/>
          <w:lang w:val="en-US"/>
        </w:rPr>
      </w:pPr>
      <w:r w:rsidRPr="004A2B2B">
        <w:rPr>
          <w:rFonts w:cstheme="majorBidi"/>
          <w:b/>
          <w:sz w:val="24"/>
          <w:szCs w:val="24"/>
        </w:rPr>
        <w:t>Требования к испытаниям</w:t>
      </w:r>
    </w:p>
    <w:p w14:paraId="771CADE6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4.</w:t>
      </w:r>
      <w:r w:rsidRPr="004A2B2B">
        <w:rPr>
          <w:rFonts w:cstheme="majorBidi"/>
          <w:sz w:val="24"/>
          <w:szCs w:val="24"/>
        </w:rPr>
        <w:t> Испытание состава</w:t>
      </w:r>
    </w:p>
    <w:p w14:paraId="49214D50" w14:textId="2ABB8C20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Проводится анализ состава конечных материалов для проверки соответствия требованиям к составу эмалей, керамических материалов и других неорганических материалов, включенных в таблицу 10 приложения № 2.</w:t>
      </w:r>
    </w:p>
    <w:p w14:paraId="1D9FD047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5.</w:t>
      </w:r>
      <w:r w:rsidRPr="004A2B2B">
        <w:rPr>
          <w:rFonts w:cstheme="majorBidi"/>
          <w:sz w:val="24"/>
          <w:szCs w:val="24"/>
        </w:rPr>
        <w:t> Испытание на миграцию</w:t>
      </w:r>
    </w:p>
    <w:p w14:paraId="170601F2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5.1.</w:t>
      </w:r>
      <w:r w:rsidRPr="004A2B2B">
        <w:rPr>
          <w:rFonts w:cstheme="majorBidi"/>
          <w:i/>
          <w:sz w:val="24"/>
          <w:szCs w:val="24"/>
        </w:rPr>
        <w:t> Стандарты</w:t>
      </w:r>
    </w:p>
    <w:p w14:paraId="5C8565B2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Для испытания на выделение соответствующих веществ используется следующий стандарт для получения миграционных вод: SM EN 12873-1:2015.</w:t>
      </w:r>
    </w:p>
    <w:p w14:paraId="55F73022" w14:textId="77FB8163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lastRenderedPageBreak/>
        <w:t>Следующие пункты 5.2, 5.3, 5.4 и 5.5 дополняют эти стандарты.</w:t>
      </w:r>
    </w:p>
    <w:p w14:paraId="06FE6065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5.2.</w:t>
      </w:r>
      <w:r w:rsidRPr="004A2B2B">
        <w:rPr>
          <w:rFonts w:cstheme="majorBidi"/>
          <w:i/>
          <w:sz w:val="24"/>
          <w:szCs w:val="24"/>
        </w:rPr>
        <w:t> Пробный образец</w:t>
      </w:r>
    </w:p>
    <w:p w14:paraId="67C4C693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Особое внимание уделяется изготовлению испытательного образца. В качестве пробного образца (образцов) следует использовать соответствующий компонент или изделие.</w:t>
      </w:r>
    </w:p>
    <w:p w14:paraId="2116E9B1" w14:textId="069FA409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Специально изготовленный пробный образец используется только в том случае, если изделие не может быть испытано.</w:t>
      </w:r>
    </w:p>
    <w:p w14:paraId="070FFEDA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5.3.</w:t>
      </w:r>
      <w:r w:rsidRPr="004A2B2B">
        <w:rPr>
          <w:rFonts w:cstheme="majorBidi"/>
          <w:i/>
          <w:sz w:val="24"/>
          <w:szCs w:val="24"/>
        </w:rPr>
        <w:t> Температура испытания</w:t>
      </w:r>
    </w:p>
    <w:p w14:paraId="0BB0A99F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Все изделия должны испытываться при температуре 23 °C ± 2 °C (условие испытания с использованием холодной воды).</w:t>
      </w:r>
    </w:p>
    <w:p w14:paraId="1367E3A0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Кроме того, изделия, обычно используемые для горячей или очень горячей воды, должны испытываться при температуре 60 °C ± 2 °C или 85 °C ± 2 °C соответственно. В этом смысле горячая вода соответствует нормальным рабочим температурам от 30 °C до 70 °C, а кипящая вода – рабочим температурам выше 70 °C.</w:t>
      </w:r>
    </w:p>
    <w:p w14:paraId="34B78058" w14:textId="3564A47E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Для материалов, которые могут подвергаться большим перепадам температур (например, в случае солнечных установок для нагрева воды), испытание следует проводить при 85 °C.</w:t>
      </w:r>
    </w:p>
    <w:p w14:paraId="7EC37978" w14:textId="77777777" w:rsidR="004A2B2B" w:rsidRPr="004A2B2B" w:rsidRDefault="004A2B2B" w:rsidP="004A2B2B">
      <w:pPr>
        <w:rPr>
          <w:rFonts w:cstheme="majorBidi"/>
          <w:i/>
          <w:iCs/>
          <w:sz w:val="24"/>
          <w:szCs w:val="24"/>
        </w:rPr>
      </w:pPr>
      <w:r w:rsidRPr="004A2B2B">
        <w:rPr>
          <w:rFonts w:cstheme="majorBidi"/>
          <w:sz w:val="24"/>
          <w:szCs w:val="24"/>
        </w:rPr>
        <w:t>5.4.</w:t>
      </w:r>
      <w:r w:rsidRPr="004A2B2B">
        <w:rPr>
          <w:rFonts w:cstheme="majorBidi"/>
          <w:i/>
          <w:iCs/>
          <w:sz w:val="24"/>
          <w:szCs w:val="24"/>
        </w:rPr>
        <w:t> Тип испытательной воды</w:t>
      </w:r>
    </w:p>
    <w:p w14:paraId="2C17F811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Испытание с использованием холодной воды (23 °C ± 2 °C) проводится с использованием нехлорированной испытательной воды. Если требуется анализ HAP, испытание проводится также с использованием хлорированной испытательной воды.</w:t>
      </w:r>
    </w:p>
    <w:p w14:paraId="0E495872" w14:textId="71074A97" w:rsidR="004A2B2B" w:rsidRPr="004A2B2B" w:rsidRDefault="004A2B2B" w:rsidP="004A2B2B">
      <w:pPr>
        <w:rPr>
          <w:rFonts w:cstheme="majorBidi"/>
          <w:iCs/>
          <w:sz w:val="24"/>
          <w:szCs w:val="24"/>
          <w:lang w:val="en-US"/>
        </w:rPr>
      </w:pPr>
      <w:r w:rsidRPr="004A2B2B">
        <w:rPr>
          <w:rFonts w:cstheme="majorBidi"/>
          <w:iCs/>
          <w:sz w:val="24"/>
          <w:szCs w:val="24"/>
        </w:rPr>
        <w:t>Если требуется испытание с использованием теплой или горячей воды, испытание проводится только с использованием нехлорированной испытательной воды.</w:t>
      </w:r>
    </w:p>
    <w:p w14:paraId="2ED2B341" w14:textId="77777777" w:rsidR="004A2B2B" w:rsidRPr="004A2B2B" w:rsidRDefault="004A2B2B" w:rsidP="004A2B2B">
      <w:pPr>
        <w:rPr>
          <w:rFonts w:cstheme="majorBidi"/>
          <w:i/>
          <w:iCs/>
          <w:sz w:val="24"/>
          <w:szCs w:val="24"/>
        </w:rPr>
      </w:pPr>
      <w:r w:rsidRPr="004A2B2B">
        <w:rPr>
          <w:rFonts w:cstheme="majorBidi"/>
          <w:i/>
          <w:iCs/>
          <w:sz w:val="24"/>
          <w:szCs w:val="24"/>
        </w:rPr>
        <w:t>5.5. Периоды миграции</w:t>
      </w:r>
    </w:p>
    <w:p w14:paraId="64339409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Для испытания с холодной водой анализируются образцы миграции для 1, 2 и 9-го периодов миграции в соответствии со стандартами. Соблюдение критериев приемлемости/неприемлемости оценивается в 3-м периоде миграции (10-й день испытания). Если критерии приемлемости/неприемлемости (см. пункт 8) не соблюдаются в 3-м периоде миграции, испытание может быть продлено, при этом необходимо дополнительно проанализировать 5, 7 и 9-й периоды. В этом случае критерии приемлемости/неприемлемости оцениваются в 9-м периоде миграции (31-й день испытания).</w:t>
      </w:r>
    </w:p>
    <w:p w14:paraId="3AA81B27" w14:textId="69D6C2D2" w:rsidR="004A2B2B" w:rsidRPr="004A2B2B" w:rsidRDefault="004A2B2B" w:rsidP="004A2B2B">
      <w:pPr>
        <w:rPr>
          <w:rFonts w:cstheme="majorBidi"/>
          <w:iCs/>
          <w:sz w:val="24"/>
          <w:szCs w:val="24"/>
          <w:lang w:val="en-US"/>
        </w:rPr>
      </w:pPr>
      <w:r w:rsidRPr="004A2B2B">
        <w:rPr>
          <w:rFonts w:cstheme="majorBidi"/>
          <w:iCs/>
          <w:sz w:val="24"/>
          <w:szCs w:val="24"/>
        </w:rPr>
        <w:t>Для испытания с использованием теплой или горячей воды анализируются образцы миграции за 1, 2, 3 и 7-й периоды миграции. Соблюдение критериев приемлемости/неприемлемости оценивается в седьмой период миграции (10-й день). Если критерии приемлемости/неприемлемости (см. пункт 8) не соблюдены в 7-м периоде миграции, испытание может быть продлено, при этом дополнительно должны быть проанализированы 12, 17 и 22-й периоды. В этом случае критерии принятия/отклонения оцениваются в 22-м периоде миграции (31-й день).</w:t>
      </w:r>
    </w:p>
    <w:p w14:paraId="5E2667AE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6.</w:t>
      </w:r>
      <w:r w:rsidRPr="004A2B2B">
        <w:rPr>
          <w:rFonts w:cstheme="majorBidi"/>
          <w:sz w:val="24"/>
          <w:szCs w:val="24"/>
        </w:rPr>
        <w:t> Анализ миграционных вод</w:t>
      </w:r>
    </w:p>
    <w:p w14:paraId="0264671D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6.1.</w:t>
      </w:r>
      <w:r w:rsidRPr="004A2B2B">
        <w:rPr>
          <w:rFonts w:cstheme="majorBidi"/>
          <w:i/>
          <w:sz w:val="24"/>
          <w:szCs w:val="24"/>
        </w:rPr>
        <w:t> Соответствующие вещества</w:t>
      </w:r>
    </w:p>
    <w:p w14:paraId="60D48266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Методы анализа соответствующих веществ в миграционных водах должны быть валидированы и документированы в соответствии с SM EN ISO/IEC 17025:2018 или другими эквивалентными стандартами, принятыми на международном уровне.</w:t>
      </w:r>
    </w:p>
    <w:p w14:paraId="6B88FDC6" w14:textId="04A2850C" w:rsidR="004A2B2B" w:rsidRPr="004A2B2B" w:rsidRDefault="004A2B2B" w:rsidP="004A2B2B">
      <w:pPr>
        <w:ind w:firstLine="0"/>
        <w:jc w:val="center"/>
        <w:rPr>
          <w:rFonts w:cstheme="majorBidi"/>
          <w:b/>
          <w:sz w:val="24"/>
          <w:szCs w:val="24"/>
          <w:lang w:val="en-US"/>
        </w:rPr>
      </w:pPr>
      <w:r w:rsidRPr="004A2B2B">
        <w:rPr>
          <w:rFonts w:cstheme="majorBidi"/>
          <w:b/>
          <w:sz w:val="24"/>
          <w:szCs w:val="24"/>
        </w:rPr>
        <w:t>Требования к приемке: критерии приемки/отклонения</w:t>
      </w:r>
    </w:p>
    <w:p w14:paraId="017C89AC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7.</w:t>
      </w:r>
      <w:r w:rsidRPr="004A2B2B">
        <w:rPr>
          <w:rFonts w:cstheme="majorBidi"/>
          <w:sz w:val="24"/>
          <w:szCs w:val="24"/>
        </w:rPr>
        <w:t> Состав</w:t>
      </w:r>
    </w:p>
    <w:p w14:paraId="010E350B" w14:textId="5EF553F3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lastRenderedPageBreak/>
        <w:t>Анализируемый состав конечного материала должен соответствовать требованиям к составу и другим ограничениям, указанным в перечне соответствующих составов.</w:t>
      </w:r>
    </w:p>
    <w:p w14:paraId="1915A587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b/>
          <w:sz w:val="24"/>
          <w:szCs w:val="24"/>
        </w:rPr>
        <w:t>8.</w:t>
      </w:r>
      <w:r w:rsidRPr="004A2B2B">
        <w:rPr>
          <w:rFonts w:cstheme="majorBidi"/>
          <w:sz w:val="24"/>
          <w:szCs w:val="24"/>
        </w:rPr>
        <w:t> Соответствующие вещества</w:t>
      </w:r>
    </w:p>
    <w:p w14:paraId="6E7BE28D" w14:textId="77777777" w:rsidR="004A2B2B" w:rsidRPr="004A2B2B" w:rsidRDefault="004A2B2B" w:rsidP="004A2B2B">
      <w:pPr>
        <w:rPr>
          <w:rFonts w:cstheme="majorBidi"/>
          <w:i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8.1.</w:t>
      </w:r>
      <w:r w:rsidRPr="004A2B2B">
        <w:rPr>
          <w:rFonts w:cstheme="majorBidi"/>
          <w:i/>
          <w:sz w:val="24"/>
          <w:szCs w:val="24"/>
        </w:rPr>
        <w:t> Преобразование результатов испытаний</w:t>
      </w:r>
    </w:p>
    <w:p w14:paraId="21AF3941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sz w:val="24"/>
          <w:szCs w:val="24"/>
        </w:rPr>
        <w:t>В соответствии со стандартом SM EN 12873-1:2015 результаты испытаний выражаются в виде коэффициентов миграции (M) в мг/(дм</w:t>
      </w:r>
      <w:r w:rsidRPr="004A2B2B">
        <w:rPr>
          <w:rFonts w:cstheme="majorBidi"/>
          <w:sz w:val="24"/>
          <w:szCs w:val="24"/>
          <w:vertAlign w:val="superscript"/>
        </w:rPr>
        <w:t>2</w:t>
      </w:r>
      <w:r w:rsidRPr="004A2B2B">
        <w:rPr>
          <w:rFonts w:cstheme="majorBidi"/>
          <w:sz w:val="24"/>
          <w:szCs w:val="24"/>
        </w:rPr>
        <w:t>.д). Эти результаты должны быть преобразованы для оценки концентраций в водопроводной воде (C</w:t>
      </w:r>
      <w:r w:rsidRPr="004A2B2B">
        <w:rPr>
          <w:rFonts w:cstheme="majorBidi"/>
          <w:sz w:val="24"/>
          <w:szCs w:val="24"/>
          <w:vertAlign w:val="subscript"/>
        </w:rPr>
        <w:t>tap</w:t>
      </w:r>
      <w:r w:rsidRPr="004A2B2B">
        <w:rPr>
          <w:rFonts w:cstheme="majorBidi"/>
          <w:sz w:val="24"/>
          <w:szCs w:val="24"/>
        </w:rPr>
        <w:t>), определяемых как C</w:t>
      </w:r>
      <w:r w:rsidRPr="004A2B2B">
        <w:rPr>
          <w:rFonts w:cstheme="majorBidi"/>
          <w:sz w:val="24"/>
          <w:szCs w:val="24"/>
          <w:vertAlign w:val="subscript"/>
        </w:rPr>
        <w:t>tap</w:t>
      </w:r>
      <w:r w:rsidRPr="004A2B2B">
        <w:rPr>
          <w:rFonts w:cstheme="majorBidi"/>
          <w:sz w:val="24"/>
          <w:szCs w:val="24"/>
        </w:rPr>
        <w:t xml:space="preserve"> = M * КП, где КП – соответствующий коэффициент преобразования в д/дм.</w:t>
      </w:r>
    </w:p>
    <w:p w14:paraId="20A86F5F" w14:textId="150E418C" w:rsidR="004A2B2B" w:rsidRPr="004A2B2B" w:rsidRDefault="004A2B2B" w:rsidP="004A2B2B">
      <w:pPr>
        <w:rPr>
          <w:rFonts w:cstheme="majorBidi"/>
          <w:sz w:val="24"/>
          <w:szCs w:val="24"/>
          <w:lang w:val="en-US"/>
        </w:rPr>
      </w:pPr>
      <w:r w:rsidRPr="004A2B2B">
        <w:rPr>
          <w:rFonts w:cstheme="majorBidi"/>
          <w:sz w:val="24"/>
          <w:szCs w:val="24"/>
        </w:rPr>
        <w:t>Коэффициенты преобразования для различных групп продуктов перечислены в таблице 5 приложения № 1</w:t>
      </w:r>
    </w:p>
    <w:p w14:paraId="78C54AA1" w14:textId="77777777" w:rsidR="004A2B2B" w:rsidRPr="004A2B2B" w:rsidRDefault="004A2B2B" w:rsidP="004A2B2B">
      <w:pPr>
        <w:rPr>
          <w:rFonts w:cstheme="majorBidi"/>
          <w:i/>
          <w:iCs/>
          <w:sz w:val="24"/>
          <w:szCs w:val="24"/>
        </w:rPr>
      </w:pPr>
      <w:r w:rsidRPr="004A2B2B">
        <w:rPr>
          <w:rFonts w:cstheme="majorBidi"/>
          <w:sz w:val="24"/>
          <w:szCs w:val="24"/>
        </w:rPr>
        <w:t>8.2.</w:t>
      </w:r>
      <w:r w:rsidRPr="004A2B2B">
        <w:rPr>
          <w:rFonts w:cstheme="majorBidi"/>
          <w:i/>
          <w:iCs/>
          <w:sz w:val="24"/>
          <w:szCs w:val="24"/>
        </w:rPr>
        <w:t> Критерии приемки/отклонения для соответствующих веществ</w:t>
      </w:r>
    </w:p>
    <w:p w14:paraId="43CCE864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8.2.1. Следующие требования применяются к испытанию на миграцию в холодной воде:</w:t>
      </w:r>
    </w:p>
    <w:p w14:paraId="26FC1F5E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8.2.1.1. 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≤ MTC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для 3-го периода миграции (10-й день испытания) или, если необходимо продлить испытание, для 9-го периода миграции </w:t>
      </w:r>
      <w:r w:rsidRPr="004A2B2B">
        <w:rPr>
          <w:rFonts w:cstheme="majorBidi"/>
          <w:iCs/>
          <w:sz w:val="24"/>
          <w:szCs w:val="24"/>
        </w:rPr>
        <w:br/>
        <w:t>(31-й день испытания);</w:t>
      </w:r>
    </w:p>
    <w:p w14:paraId="314C273A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8.2.1.2. значение 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не должно иметь тенденцию к увеличению с течением времени. </w:t>
      </w:r>
    </w:p>
    <w:p w14:paraId="518999E3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8.2.2. Следующие требования применяются к испытанию на миграцию с использованием теплой/горячей воды:</w:t>
      </w:r>
    </w:p>
    <w:p w14:paraId="26E16DB0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8.2.2.1. 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≤ MTC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для 7-го периода миграции (10-й день испытания) или, если требуется продление испытания, 22-го периода миграции (31-й день испытания);</w:t>
      </w:r>
    </w:p>
    <w:p w14:paraId="3139B2B5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8.2.2.2. значение 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не должно иметь тенденцию к увеличению с течением времени.</w:t>
      </w:r>
    </w:p>
    <w:p w14:paraId="0D89A552" w14:textId="77777777" w:rsidR="004A2B2B" w:rsidRPr="004A2B2B" w:rsidRDefault="004A2B2B" w:rsidP="004A2B2B">
      <w:pPr>
        <w:rPr>
          <w:rFonts w:cstheme="majorBidi"/>
          <w:iCs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8.2.3. Для оценки тенденции используются концентрации вещества, измеренные в миграционной воде из последовательных периодов миграции. Однако, если значение 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 xml:space="preserve"> в соответствующем периоде миграции составляет менее 1/10 от значения MTC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>, анализ тенденции не требуется.</w:t>
      </w:r>
    </w:p>
    <w:p w14:paraId="7497ECEA" w14:textId="77777777" w:rsidR="004A2B2B" w:rsidRPr="004A2B2B" w:rsidRDefault="004A2B2B" w:rsidP="004A2B2B">
      <w:pPr>
        <w:rPr>
          <w:rFonts w:cstheme="majorBidi"/>
          <w:sz w:val="24"/>
          <w:szCs w:val="24"/>
        </w:rPr>
      </w:pPr>
      <w:r w:rsidRPr="004A2B2B">
        <w:rPr>
          <w:rFonts w:cstheme="majorBidi"/>
          <w:iCs/>
          <w:sz w:val="24"/>
          <w:szCs w:val="24"/>
        </w:rPr>
        <w:t>8.2.4. Значения MTC</w:t>
      </w:r>
      <w:r w:rsidRPr="004A2B2B">
        <w:rPr>
          <w:rFonts w:cstheme="majorBidi"/>
          <w:iCs/>
          <w:sz w:val="24"/>
          <w:szCs w:val="24"/>
          <w:vertAlign w:val="subscript"/>
        </w:rPr>
        <w:t>tap</w:t>
      </w:r>
      <w:r w:rsidRPr="004A2B2B">
        <w:rPr>
          <w:rFonts w:cstheme="majorBidi"/>
          <w:iCs/>
          <w:sz w:val="24"/>
          <w:szCs w:val="24"/>
        </w:rPr>
        <w:t>, неорганические, которые должны применяться, будут утверждены в соответствии с пунктом 7 Регламента.</w:t>
      </w:r>
    </w:p>
    <w:p w14:paraId="75B7971A" w14:textId="77E72957" w:rsidR="00F7571C" w:rsidRPr="004A2B2B" w:rsidRDefault="00F7571C" w:rsidP="004A2B2B">
      <w:pPr>
        <w:ind w:firstLine="0"/>
        <w:rPr>
          <w:sz w:val="24"/>
          <w:szCs w:val="24"/>
          <w:lang w:val="en-US"/>
        </w:rPr>
      </w:pPr>
    </w:p>
    <w:sectPr w:rsidR="00F7571C" w:rsidRPr="004A2B2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3AD"/>
    <w:rsid w:val="002C13AD"/>
    <w:rsid w:val="004A2B2B"/>
    <w:rsid w:val="00AD7C19"/>
    <w:rsid w:val="00E6197B"/>
    <w:rsid w:val="00F75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37E321"/>
  <w15:chartTrackingRefBased/>
  <w15:docId w15:val="{12258F40-F37D-4A11-A95A-51F09C2D0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2B2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0"/>
      <w:sz w:val="20"/>
      <w:szCs w:val="20"/>
      <w:lang w:val="ru-R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2C13AD"/>
    <w:pPr>
      <w:keepNext/>
      <w:keepLines/>
      <w:spacing w:before="360" w:after="80" w:line="278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2C13AD"/>
    <w:pPr>
      <w:keepNext/>
      <w:keepLines/>
      <w:spacing w:before="160" w:after="80" w:line="278" w:lineRule="auto"/>
      <w:ind w:firstLine="0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2C13AD"/>
    <w:pPr>
      <w:keepNext/>
      <w:keepLines/>
      <w:spacing w:before="160" w:after="80" w:line="278" w:lineRule="auto"/>
      <w:ind w:firstLine="0"/>
      <w:jc w:val="left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2C13AD"/>
    <w:pPr>
      <w:keepNext/>
      <w:keepLines/>
      <w:spacing w:before="80" w:after="40" w:line="278" w:lineRule="auto"/>
      <w:ind w:firstLine="0"/>
      <w:jc w:val="left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2C13AD"/>
    <w:pPr>
      <w:keepNext/>
      <w:keepLines/>
      <w:spacing w:before="80" w:after="40" w:line="278" w:lineRule="auto"/>
      <w:ind w:firstLine="0"/>
      <w:jc w:val="left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2C13AD"/>
    <w:pPr>
      <w:keepNext/>
      <w:keepLines/>
      <w:spacing w:before="40" w:line="278" w:lineRule="auto"/>
      <w:ind w:firstLine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2C13AD"/>
    <w:pPr>
      <w:keepNext/>
      <w:keepLines/>
      <w:spacing w:before="40" w:line="278" w:lineRule="auto"/>
      <w:ind w:firstLine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2C13AD"/>
    <w:pPr>
      <w:keepNext/>
      <w:keepLines/>
      <w:spacing w:line="278" w:lineRule="auto"/>
      <w:ind w:firstLine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2C13AD"/>
    <w:pPr>
      <w:keepNext/>
      <w:keepLines/>
      <w:spacing w:line="278" w:lineRule="auto"/>
      <w:ind w:firstLine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2C13A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2C13A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2C13A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2C13AD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2C13AD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2C13AD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2C13AD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2C13AD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2C13AD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2C13AD"/>
    <w:pPr>
      <w:spacing w:after="80"/>
      <w:ind w:firstLine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2C13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2C13AD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2C13A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2C13AD"/>
    <w:pPr>
      <w:spacing w:before="160" w:after="160" w:line="278" w:lineRule="auto"/>
      <w:ind w:firstLine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2C13AD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2C13AD"/>
    <w:pPr>
      <w:spacing w:after="160" w:line="278" w:lineRule="auto"/>
      <w:ind w:left="720" w:firstLine="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val="en-US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2C13AD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2C13A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 w:firstLine="0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2C13AD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2C13AD"/>
    <w:rPr>
      <w:b/>
      <w:bCs/>
      <w:smallCaps/>
      <w:color w:val="2F5496" w:themeColor="accent1" w:themeShade="BF"/>
      <w:spacing w:val="5"/>
    </w:rPr>
  </w:style>
  <w:style w:type="paragraph" w:styleId="Frspaiere">
    <w:name w:val="No Spacing"/>
    <w:uiPriority w:val="1"/>
    <w:qFormat/>
    <w:rsid w:val="004A2B2B"/>
    <w:pPr>
      <w:spacing w:after="0" w:line="240" w:lineRule="auto"/>
      <w:ind w:firstLine="709"/>
      <w:jc w:val="both"/>
    </w:pPr>
    <w:rPr>
      <w:rFonts w:ascii="Times New Roman" w:hAnsi="Times New Roman"/>
      <w:b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1297</Words>
  <Characters>7399</Characters>
  <Application>Microsoft Office Word</Application>
  <DocSecurity>0</DocSecurity>
  <Lines>61</Lines>
  <Paragraphs>17</Paragraphs>
  <ScaleCrop>false</ScaleCrop>
  <Company/>
  <LinksUpToDate>false</LinksUpToDate>
  <CharactersWithSpaces>8679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Moiseenco</dc:creator>
  <cp:keywords/>
  <dc:description/>
  <cp:lastModifiedBy>Elena Moiseenco</cp:lastModifiedBy>
  <cp:revision>2</cp:revision>
  <dcterms:created xsi:type="dcterms:W3CDTF">2025-09-12T05:03:00Z</dcterms:created>
  <dcterms:modified xsi:type="dcterms:W3CDTF">2025-09-12T05:04:00Z</dcterms:modified>
</cp:coreProperties>
</file>