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0D720" w14:textId="77777777" w:rsidR="009B4688" w:rsidRPr="009B4688" w:rsidRDefault="009B4688" w:rsidP="009B4688">
      <w:pPr>
        <w:pStyle w:val="Frspaiere"/>
        <w:jc w:val="right"/>
        <w:rPr>
          <w:rFonts w:cs="Times New Roman"/>
          <w:b w:val="0"/>
          <w:bCs/>
          <w:szCs w:val="24"/>
          <w:lang w:val="ru-RU"/>
        </w:rPr>
      </w:pPr>
      <w:r w:rsidRPr="009B4688">
        <w:rPr>
          <w:rFonts w:cs="Times New Roman"/>
          <w:b w:val="0"/>
          <w:bCs/>
          <w:szCs w:val="24"/>
          <w:lang w:val="ru-RU"/>
        </w:rPr>
        <w:t>Приложение № 3</w:t>
      </w:r>
    </w:p>
    <w:p w14:paraId="77A883D6" w14:textId="77777777" w:rsidR="009B4688" w:rsidRDefault="009B4688" w:rsidP="009B4688">
      <w:pPr>
        <w:pStyle w:val="Frspaiere"/>
        <w:ind w:firstLine="0"/>
        <w:jc w:val="right"/>
        <w:rPr>
          <w:rFonts w:cs="Times New Roman"/>
          <w:b w:val="0"/>
          <w:bCs/>
          <w:szCs w:val="24"/>
        </w:rPr>
      </w:pPr>
      <w:r w:rsidRPr="009B4688">
        <w:rPr>
          <w:rFonts w:cs="Times New Roman"/>
          <w:b w:val="0"/>
          <w:bCs/>
          <w:szCs w:val="24"/>
          <w:lang w:val="ru-RU"/>
        </w:rPr>
        <w:t>к Санитарному регламенту о материалах</w:t>
      </w:r>
    </w:p>
    <w:p w14:paraId="7D09B020" w14:textId="01B4297E" w:rsidR="009B4688" w:rsidRPr="009B4688" w:rsidRDefault="009B4688" w:rsidP="009B4688">
      <w:pPr>
        <w:pStyle w:val="Frspaiere"/>
        <w:ind w:firstLine="0"/>
        <w:jc w:val="right"/>
        <w:rPr>
          <w:rFonts w:cs="Times New Roman"/>
          <w:b w:val="0"/>
          <w:bCs/>
          <w:szCs w:val="24"/>
          <w:lang w:val="ru-RU"/>
        </w:rPr>
      </w:pPr>
      <w:r w:rsidRPr="009B4688">
        <w:rPr>
          <w:rFonts w:cs="Times New Roman"/>
          <w:b w:val="0"/>
          <w:bCs/>
          <w:szCs w:val="24"/>
          <w:lang w:val="ru-RU"/>
        </w:rPr>
        <w:t xml:space="preserve"> и веществах, вступающих в контакт </w:t>
      </w:r>
      <w:r w:rsidRPr="009B4688">
        <w:rPr>
          <w:rFonts w:cs="Times New Roman"/>
          <w:b w:val="0"/>
          <w:bCs/>
          <w:szCs w:val="24"/>
          <w:lang w:val="ru-RU"/>
        </w:rPr>
        <w:br/>
        <w:t>с питьевой водой, и методах испытаний</w:t>
      </w:r>
    </w:p>
    <w:p w14:paraId="77B6C318" w14:textId="77777777" w:rsidR="009B4688" w:rsidRPr="009B4688" w:rsidRDefault="009B4688" w:rsidP="009B4688">
      <w:pPr>
        <w:rPr>
          <w:sz w:val="24"/>
          <w:szCs w:val="24"/>
        </w:rPr>
      </w:pPr>
    </w:p>
    <w:p w14:paraId="4CD3A9CC" w14:textId="16D6AA60" w:rsidR="009B4688" w:rsidRPr="009B4688" w:rsidRDefault="009B4688" w:rsidP="009B4688">
      <w:pPr>
        <w:ind w:firstLine="0"/>
        <w:jc w:val="center"/>
        <w:rPr>
          <w:b/>
          <w:sz w:val="24"/>
          <w:szCs w:val="24"/>
          <w:lang w:val="en-US"/>
        </w:rPr>
      </w:pPr>
      <w:r w:rsidRPr="009B4688">
        <w:rPr>
          <w:b/>
          <w:sz w:val="24"/>
          <w:szCs w:val="24"/>
        </w:rPr>
        <w:t>КОНЕЧНЫЕ МАТЕРИАЛЫ НА ЦЕМЕНТНОЙ ОСНОВЕ</w:t>
      </w:r>
    </w:p>
    <w:p w14:paraId="17CDF776" w14:textId="4452D235" w:rsidR="009B4688" w:rsidRPr="009B4688" w:rsidRDefault="009B4688" w:rsidP="009B4688">
      <w:pPr>
        <w:ind w:firstLine="0"/>
        <w:jc w:val="center"/>
        <w:rPr>
          <w:b/>
          <w:sz w:val="24"/>
          <w:szCs w:val="24"/>
          <w:lang w:val="en-US"/>
        </w:rPr>
      </w:pPr>
      <w:r w:rsidRPr="009B4688">
        <w:rPr>
          <w:b/>
          <w:sz w:val="24"/>
          <w:szCs w:val="24"/>
        </w:rPr>
        <w:t xml:space="preserve">Общая процедура испытания и приемки конечных материалов </w:t>
      </w:r>
      <w:r w:rsidRPr="009B4688">
        <w:rPr>
          <w:b/>
          <w:sz w:val="24"/>
          <w:szCs w:val="24"/>
        </w:rPr>
        <w:br/>
        <w:t>на цементной основе, используемых в изделии</w:t>
      </w:r>
    </w:p>
    <w:p w14:paraId="539B3279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sz w:val="24"/>
          <w:szCs w:val="24"/>
        </w:rPr>
        <w:t>1.</w:t>
      </w:r>
      <w:r w:rsidRPr="009B4688">
        <w:rPr>
          <w:sz w:val="24"/>
          <w:szCs w:val="24"/>
        </w:rPr>
        <w:t> Процедура испытания и приемки конечных материалов на цементной основе, используемых в изделии, включает следующие этапы:</w:t>
      </w:r>
    </w:p>
    <w:p w14:paraId="03EC262D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1.1. этап 1 – Определение соответствующих веществ и других соответствующих параметров в зависимости от:</w:t>
      </w:r>
    </w:p>
    <w:p w14:paraId="15813423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1.1.1. классификации изделий или компонентов по группам риска и соответствующих требований к испытаниям;</w:t>
      </w:r>
    </w:p>
    <w:p w14:paraId="18B9E780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1.1.2. исследования рецептуры;</w:t>
      </w:r>
    </w:p>
    <w:p w14:paraId="2EF2E99A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 этап 2 – Проведение испытаний:</w:t>
      </w:r>
    </w:p>
    <w:p w14:paraId="37F87317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 испытание на миграцию для:</w:t>
      </w:r>
    </w:p>
    <w:p w14:paraId="51641165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1.2.1.1. соответствующих веществ;</w:t>
      </w:r>
    </w:p>
    <w:p w14:paraId="06FC39F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1.2.1.2. неожиданных веществ;</w:t>
      </w:r>
    </w:p>
    <w:p w14:paraId="15479BC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1.2.1.3. запаха и вкуса;</w:t>
      </w:r>
    </w:p>
    <w:p w14:paraId="772F26B5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1.2.1.4. цвета и мутности;</w:t>
      </w:r>
    </w:p>
    <w:p w14:paraId="66ECE7A9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1.2.1.5. общего содержания органического углерода (ООУ);</w:t>
      </w:r>
    </w:p>
    <w:p w14:paraId="29802C9E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1.2.2. тестирование на способность к стимулированию роста микроорганизмов (СРМ);</w:t>
      </w:r>
    </w:p>
    <w:p w14:paraId="68E0623E" w14:textId="385710F9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>1.3. этап 3 – Соблюдение критериев приемки/отклонения.</w:t>
      </w:r>
    </w:p>
    <w:p w14:paraId="5C0D100C" w14:textId="7F32F280" w:rsidR="009B4688" w:rsidRPr="009B4688" w:rsidRDefault="009B4688" w:rsidP="009B4688">
      <w:pPr>
        <w:ind w:firstLine="0"/>
        <w:jc w:val="center"/>
        <w:rPr>
          <w:b/>
          <w:sz w:val="24"/>
          <w:szCs w:val="24"/>
          <w:lang w:val="en-US"/>
        </w:rPr>
      </w:pPr>
      <w:r w:rsidRPr="009B4688">
        <w:rPr>
          <w:b/>
          <w:sz w:val="24"/>
          <w:szCs w:val="24"/>
        </w:rPr>
        <w:t xml:space="preserve">Определение соответствующих веществ </w:t>
      </w:r>
      <w:r w:rsidRPr="009B4688">
        <w:rPr>
          <w:b/>
          <w:sz w:val="24"/>
          <w:szCs w:val="24"/>
        </w:rPr>
        <w:br/>
        <w:t>и других соответствующих параметров</w:t>
      </w:r>
    </w:p>
    <w:p w14:paraId="7C2D8B1A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sz w:val="24"/>
          <w:szCs w:val="24"/>
        </w:rPr>
        <w:t>2.</w:t>
      </w:r>
      <w:r w:rsidRPr="009B4688">
        <w:rPr>
          <w:sz w:val="24"/>
          <w:szCs w:val="24"/>
        </w:rPr>
        <w:t> Классификация изделий по группам риска и соответствующие требования к испытаниям</w:t>
      </w:r>
    </w:p>
    <w:p w14:paraId="7A3E671E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2.1. Процедура испытаний, применимая к конечным материалам на цементной основе, определяется использованием этих материалов в изделиях.</w:t>
      </w:r>
    </w:p>
    <w:p w14:paraId="4706E1B5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2.2. В соответствии с таблицей 5 приложения № 1 для изделия или компонента определяется группа изделий и соответствующий коэффициент преобразования (КП). На основе определенного КП изделие или компонент классифицируется в группу риска (ГР). В соответствии с таблицей 1 классификация в ГР определяет соответствующие требования к испытаниям и другие соответствующие параметры.</w:t>
      </w:r>
    </w:p>
    <w:p w14:paraId="6E0DC7AD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2.3. Для сборного изделия необходимо определить компоненты. Для каждого компонента сборного изделия определяется группа изделий. Если сборное изделие состоит из компонентов, изготовленных из одних и тех же конечных материалов, площадь поверхности этих компонентов суммируется для определения группы изделий в соответствии с таблицей 5 приложения № 1.</w:t>
      </w:r>
    </w:p>
    <w:p w14:paraId="21B21968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2.4. Испытания проводятся на конечных материалах, используемых в изделиях, контактирующих с питьевой водой.</w:t>
      </w:r>
    </w:p>
    <w:p w14:paraId="48857170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2.5. Незначительными компонентами считаются компоненты, отнесенные к группе риска ГР4, к которым могут применяться сниженные требования к испытаниям, как показано в таблице 1, по сравнению с требованиями к испытаниям для ГР1, ГР2 или ГР3.</w:t>
      </w:r>
    </w:p>
    <w:p w14:paraId="425DBA8B" w14:textId="77777777" w:rsidR="009B4688" w:rsidRPr="009B4688" w:rsidRDefault="009B4688" w:rsidP="009B4688">
      <w:pPr>
        <w:rPr>
          <w:sz w:val="24"/>
          <w:szCs w:val="24"/>
        </w:rPr>
      </w:pPr>
    </w:p>
    <w:p w14:paraId="20CA2CB5" w14:textId="77777777" w:rsidR="009B4688" w:rsidRPr="009B4688" w:rsidRDefault="009B4688" w:rsidP="009B4688">
      <w:pPr>
        <w:jc w:val="right"/>
        <w:rPr>
          <w:sz w:val="24"/>
          <w:szCs w:val="24"/>
        </w:rPr>
      </w:pPr>
      <w:r w:rsidRPr="009B4688">
        <w:rPr>
          <w:sz w:val="24"/>
          <w:szCs w:val="24"/>
        </w:rPr>
        <w:t>Таблица 1</w:t>
      </w:r>
    </w:p>
    <w:p w14:paraId="0721D6CD" w14:textId="77777777" w:rsidR="009B4688" w:rsidRPr="009B4688" w:rsidRDefault="009B4688" w:rsidP="009B4688">
      <w:pPr>
        <w:rPr>
          <w:sz w:val="24"/>
          <w:szCs w:val="24"/>
        </w:rPr>
      </w:pPr>
    </w:p>
    <w:p w14:paraId="383A2F0B" w14:textId="77777777" w:rsidR="009B4688" w:rsidRPr="009B4688" w:rsidRDefault="009B4688" w:rsidP="009B4688">
      <w:pPr>
        <w:ind w:firstLine="0"/>
        <w:jc w:val="center"/>
        <w:rPr>
          <w:b/>
          <w:bCs/>
          <w:sz w:val="24"/>
          <w:szCs w:val="24"/>
        </w:rPr>
      </w:pPr>
      <w:r w:rsidRPr="009B4688">
        <w:rPr>
          <w:b/>
          <w:bCs/>
          <w:sz w:val="24"/>
          <w:szCs w:val="24"/>
        </w:rPr>
        <w:t xml:space="preserve">Требования к испытаниям на основе риска для изделий </w:t>
      </w:r>
      <w:r w:rsidRPr="009B4688">
        <w:rPr>
          <w:b/>
          <w:bCs/>
          <w:sz w:val="24"/>
          <w:szCs w:val="24"/>
        </w:rPr>
        <w:br/>
        <w:t>или компонентов сборных изделий</w:t>
      </w:r>
    </w:p>
    <w:p w14:paraId="2B2B9828" w14:textId="77777777" w:rsidR="009B4688" w:rsidRPr="009B4688" w:rsidRDefault="009B4688" w:rsidP="009B4688">
      <w:pPr>
        <w:rPr>
          <w:sz w:val="24"/>
          <w:szCs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2"/>
        <w:gridCol w:w="1164"/>
        <w:gridCol w:w="817"/>
        <w:gridCol w:w="908"/>
        <w:gridCol w:w="1017"/>
        <w:gridCol w:w="1080"/>
        <w:gridCol w:w="1049"/>
        <w:gridCol w:w="1658"/>
      </w:tblGrid>
      <w:tr w:rsidR="009B4688" w:rsidRPr="009B4688" w14:paraId="5DBEDBCE" w14:textId="77777777" w:rsidTr="009B4688">
        <w:trPr>
          <w:trHeight w:hRule="exact" w:val="1836"/>
          <w:jc w:val="center"/>
        </w:trPr>
        <w:tc>
          <w:tcPr>
            <w:tcW w:w="988" w:type="dxa"/>
            <w:shd w:val="clear" w:color="auto" w:fill="FFFFFF" w:themeFill="background1"/>
          </w:tcPr>
          <w:p w14:paraId="4279043B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 xml:space="preserve">Группа </w:t>
            </w:r>
            <w:r w:rsidRPr="009B4688">
              <w:rPr>
                <w:b/>
                <w:bCs/>
                <w:sz w:val="24"/>
                <w:szCs w:val="24"/>
              </w:rPr>
              <w:br/>
              <w:t>риска</w:t>
            </w:r>
          </w:p>
        </w:tc>
        <w:tc>
          <w:tcPr>
            <w:tcW w:w="1417" w:type="dxa"/>
            <w:shd w:val="clear" w:color="auto" w:fill="FFFFFF" w:themeFill="background1"/>
          </w:tcPr>
          <w:p w14:paraId="37A43323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 xml:space="preserve">Коэффициент преобразования </w:t>
            </w:r>
            <w:r w:rsidRPr="009B4688">
              <w:rPr>
                <w:b/>
                <w:bCs/>
                <w:sz w:val="24"/>
                <w:szCs w:val="24"/>
              </w:rPr>
              <w:br/>
              <w:t>в д/дм</w:t>
            </w:r>
          </w:p>
        </w:tc>
        <w:tc>
          <w:tcPr>
            <w:tcW w:w="992" w:type="dxa"/>
            <w:shd w:val="clear" w:color="auto" w:fill="FFFFFF" w:themeFill="background1"/>
          </w:tcPr>
          <w:p w14:paraId="314A882D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Исследование рецептуры</w:t>
            </w:r>
          </w:p>
        </w:tc>
        <w:tc>
          <w:tcPr>
            <w:tcW w:w="1104" w:type="dxa"/>
            <w:shd w:val="clear" w:color="auto" w:fill="FFFFFF" w:themeFill="background1"/>
          </w:tcPr>
          <w:p w14:paraId="1357049C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Соответствующие вещества</w:t>
            </w:r>
          </w:p>
        </w:tc>
        <w:tc>
          <w:tcPr>
            <w:tcW w:w="1237" w:type="dxa"/>
            <w:shd w:val="clear" w:color="auto" w:fill="FFFFFF" w:themeFill="background1"/>
          </w:tcPr>
          <w:p w14:paraId="0C589B7C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Обнаружение неожиданных веществ</w:t>
            </w:r>
          </w:p>
        </w:tc>
        <w:tc>
          <w:tcPr>
            <w:tcW w:w="1314" w:type="dxa"/>
            <w:shd w:val="clear" w:color="auto" w:fill="FFFFFF" w:themeFill="background1"/>
          </w:tcPr>
          <w:p w14:paraId="3E518A1C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ООУ</w:t>
            </w:r>
          </w:p>
        </w:tc>
        <w:tc>
          <w:tcPr>
            <w:tcW w:w="1276" w:type="dxa"/>
            <w:shd w:val="clear" w:color="auto" w:fill="FFFFFF" w:themeFill="background1"/>
          </w:tcPr>
          <w:p w14:paraId="592C3880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bookmarkStart w:id="0" w:name="bookmark27"/>
            <w:bookmarkStart w:id="1" w:name="bookmark28"/>
            <w:bookmarkEnd w:id="0"/>
            <w:bookmarkEnd w:id="1"/>
            <w:r w:rsidRPr="009B4688">
              <w:rPr>
                <w:b/>
                <w:bCs/>
                <w:sz w:val="24"/>
                <w:szCs w:val="24"/>
              </w:rPr>
              <w:t xml:space="preserve">TON </w:t>
            </w:r>
            <w:bookmarkStart w:id="2" w:name="_Hlk182216740"/>
            <w:r w:rsidRPr="009B4688">
              <w:rPr>
                <w:b/>
                <w:bCs/>
                <w:sz w:val="24"/>
                <w:szCs w:val="24"/>
              </w:rPr>
              <w:t>⁽¹</w:t>
            </w:r>
            <w:proofErr w:type="gramStart"/>
            <w:r w:rsidRPr="009B4688">
              <w:rPr>
                <w:b/>
                <w:bCs/>
                <w:sz w:val="24"/>
                <w:szCs w:val="24"/>
              </w:rPr>
              <w:t>⁾</w:t>
            </w:r>
            <w:bookmarkEnd w:id="2"/>
            <w:r w:rsidRPr="009B468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</w:p>
          <w:p w14:paraId="108068A9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 xml:space="preserve">TFN </w:t>
            </w:r>
            <w:bookmarkStart w:id="3" w:name="_Hlk182216750"/>
            <w:r w:rsidRPr="009B4688">
              <w:rPr>
                <w:b/>
                <w:bCs/>
                <w:sz w:val="24"/>
                <w:szCs w:val="24"/>
              </w:rPr>
              <w:t>⁽²</w:t>
            </w:r>
            <w:proofErr w:type="gramStart"/>
            <w:r w:rsidRPr="009B4688">
              <w:rPr>
                <w:b/>
                <w:bCs/>
                <w:sz w:val="24"/>
                <w:szCs w:val="24"/>
              </w:rPr>
              <w:t>⁾</w:t>
            </w:r>
            <w:bookmarkEnd w:id="3"/>
            <w:r w:rsidRPr="009B4688">
              <w:rPr>
                <w:b/>
                <w:bCs/>
                <w:sz w:val="24"/>
                <w:szCs w:val="24"/>
              </w:rPr>
              <w:t xml:space="preserve"> ,</w:t>
            </w:r>
            <w:proofErr w:type="gramEnd"/>
          </w:p>
          <w:p w14:paraId="293BCCED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цвет, мутность</w:t>
            </w:r>
          </w:p>
        </w:tc>
        <w:tc>
          <w:tcPr>
            <w:tcW w:w="2021" w:type="dxa"/>
            <w:shd w:val="clear" w:color="auto" w:fill="FFFFFF" w:themeFill="background1"/>
          </w:tcPr>
          <w:p w14:paraId="7631560B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СРМ</w:t>
            </w:r>
          </w:p>
        </w:tc>
      </w:tr>
      <w:tr w:rsidR="009B4688" w:rsidRPr="009B4688" w14:paraId="7CEC4AA3" w14:textId="77777777" w:rsidTr="009B4688">
        <w:trPr>
          <w:trHeight w:hRule="exact" w:val="335"/>
          <w:jc w:val="center"/>
        </w:trPr>
        <w:tc>
          <w:tcPr>
            <w:tcW w:w="988" w:type="dxa"/>
            <w:shd w:val="clear" w:color="auto" w:fill="FFFFFF" w:themeFill="background1"/>
          </w:tcPr>
          <w:p w14:paraId="7E0358C1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ГР1</w:t>
            </w:r>
          </w:p>
        </w:tc>
        <w:tc>
          <w:tcPr>
            <w:tcW w:w="1417" w:type="dxa"/>
            <w:shd w:val="clear" w:color="auto" w:fill="FFFFFF" w:themeFill="background1"/>
          </w:tcPr>
          <w:p w14:paraId="6170EC08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≥ 4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14:paraId="441BDBED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</w:t>
            </w:r>
          </w:p>
        </w:tc>
        <w:tc>
          <w:tcPr>
            <w:tcW w:w="1104" w:type="dxa"/>
            <w:vMerge w:val="restart"/>
            <w:shd w:val="clear" w:color="auto" w:fill="FFFFFF" w:themeFill="background1"/>
          </w:tcPr>
          <w:p w14:paraId="7BD0F7F3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</w:t>
            </w:r>
          </w:p>
        </w:tc>
        <w:tc>
          <w:tcPr>
            <w:tcW w:w="1237" w:type="dxa"/>
            <w:vMerge w:val="restart"/>
            <w:shd w:val="clear" w:color="auto" w:fill="FFFFFF" w:themeFill="background1"/>
          </w:tcPr>
          <w:p w14:paraId="1AC511DA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образца, если используются органические составляющие</w:t>
            </w:r>
          </w:p>
        </w:tc>
        <w:tc>
          <w:tcPr>
            <w:tcW w:w="1314" w:type="dxa"/>
            <w:vMerge w:val="restart"/>
            <w:shd w:val="clear" w:color="auto" w:fill="FFFFFF" w:themeFill="background1"/>
          </w:tcPr>
          <w:p w14:paraId="154A9351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14:paraId="690249F6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</w:t>
            </w:r>
          </w:p>
        </w:tc>
        <w:tc>
          <w:tcPr>
            <w:tcW w:w="2021" w:type="dxa"/>
            <w:vMerge w:val="restart"/>
            <w:shd w:val="clear" w:color="auto" w:fill="FFFFFF" w:themeFill="background1"/>
          </w:tcPr>
          <w:p w14:paraId="17DC63C5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образца, если используются органические составляющие</w:t>
            </w:r>
          </w:p>
        </w:tc>
      </w:tr>
      <w:tr w:rsidR="009B4688" w:rsidRPr="009B4688" w14:paraId="6B9D063B" w14:textId="77777777" w:rsidTr="009B4688">
        <w:trPr>
          <w:trHeight w:hRule="exact" w:val="735"/>
          <w:jc w:val="center"/>
        </w:trPr>
        <w:tc>
          <w:tcPr>
            <w:tcW w:w="988" w:type="dxa"/>
            <w:shd w:val="clear" w:color="auto" w:fill="FFFFFF" w:themeFill="background1"/>
          </w:tcPr>
          <w:p w14:paraId="0FF859C3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ГР2</w:t>
            </w:r>
          </w:p>
        </w:tc>
        <w:tc>
          <w:tcPr>
            <w:tcW w:w="1417" w:type="dxa"/>
            <w:shd w:val="clear" w:color="auto" w:fill="FFFFFF" w:themeFill="background1"/>
          </w:tcPr>
          <w:p w14:paraId="45983BC5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≥ 0,4 и</w:t>
            </w:r>
          </w:p>
          <w:p w14:paraId="7C39DBAA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proofErr w:type="gramStart"/>
            <w:r w:rsidRPr="009B4688">
              <w:rPr>
                <w:sz w:val="24"/>
                <w:szCs w:val="24"/>
              </w:rPr>
              <w:t>&lt; 4</w:t>
            </w:r>
            <w:proofErr w:type="gramEnd"/>
          </w:p>
        </w:tc>
        <w:tc>
          <w:tcPr>
            <w:tcW w:w="992" w:type="dxa"/>
            <w:vMerge/>
            <w:shd w:val="clear" w:color="auto" w:fill="FFFFFF" w:themeFill="background1"/>
          </w:tcPr>
          <w:p w14:paraId="52AD0690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shd w:val="clear" w:color="auto" w:fill="FFFFFF" w:themeFill="background1"/>
          </w:tcPr>
          <w:p w14:paraId="52E19B40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vMerge/>
            <w:shd w:val="clear" w:color="auto" w:fill="FFFFFF" w:themeFill="background1"/>
          </w:tcPr>
          <w:p w14:paraId="340DD765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314" w:type="dxa"/>
            <w:vMerge/>
            <w:shd w:val="clear" w:color="auto" w:fill="FFFFFF" w:themeFill="background1"/>
          </w:tcPr>
          <w:p w14:paraId="120CFBCF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1724FDEE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shd w:val="clear" w:color="auto" w:fill="FFFFFF" w:themeFill="background1"/>
          </w:tcPr>
          <w:p w14:paraId="012E631D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</w:tr>
      <w:tr w:rsidR="009B4688" w:rsidRPr="009B4688" w14:paraId="0163E183" w14:textId="77777777" w:rsidTr="009B4688">
        <w:trPr>
          <w:trHeight w:hRule="exact" w:val="829"/>
          <w:jc w:val="center"/>
        </w:trPr>
        <w:tc>
          <w:tcPr>
            <w:tcW w:w="988" w:type="dxa"/>
            <w:shd w:val="clear" w:color="auto" w:fill="FFFFFF" w:themeFill="background1"/>
          </w:tcPr>
          <w:p w14:paraId="0204F635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ГР3</w:t>
            </w:r>
          </w:p>
        </w:tc>
        <w:tc>
          <w:tcPr>
            <w:tcW w:w="1417" w:type="dxa"/>
            <w:shd w:val="clear" w:color="auto" w:fill="FFFFFF" w:themeFill="background1"/>
          </w:tcPr>
          <w:p w14:paraId="1365F625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≥ 0,04</w:t>
            </w:r>
          </w:p>
          <w:p w14:paraId="49A0A756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и</w:t>
            </w:r>
          </w:p>
          <w:p w14:paraId="33405A12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proofErr w:type="gramStart"/>
            <w:r w:rsidRPr="009B4688">
              <w:rPr>
                <w:sz w:val="24"/>
                <w:szCs w:val="24"/>
              </w:rPr>
              <w:t>&lt; 0</w:t>
            </w:r>
            <w:proofErr w:type="gramEnd"/>
            <w:r w:rsidRPr="009B4688">
              <w:rPr>
                <w:sz w:val="24"/>
                <w:szCs w:val="24"/>
              </w:rPr>
              <w:t>,4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14:paraId="46CC377C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104" w:type="dxa"/>
            <w:vMerge/>
            <w:shd w:val="clear" w:color="auto" w:fill="FFFFFF" w:themeFill="background1"/>
          </w:tcPr>
          <w:p w14:paraId="23796CCF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237" w:type="dxa"/>
            <w:vMerge/>
            <w:shd w:val="clear" w:color="auto" w:fill="FFFFFF" w:themeFill="background1"/>
          </w:tcPr>
          <w:p w14:paraId="04501619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314" w:type="dxa"/>
            <w:vMerge/>
            <w:shd w:val="clear" w:color="auto" w:fill="FFFFFF" w:themeFill="background1"/>
          </w:tcPr>
          <w:p w14:paraId="0F6C68D8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14:paraId="4CFEDCF1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vMerge/>
            <w:shd w:val="clear" w:color="auto" w:fill="FFFFFF" w:themeFill="background1"/>
          </w:tcPr>
          <w:p w14:paraId="686EE569" w14:textId="77777777" w:rsidR="009B4688" w:rsidRPr="009B4688" w:rsidRDefault="009B4688" w:rsidP="009B4688">
            <w:pPr>
              <w:rPr>
                <w:sz w:val="24"/>
                <w:szCs w:val="24"/>
              </w:rPr>
            </w:pPr>
          </w:p>
        </w:tc>
      </w:tr>
      <w:tr w:rsidR="009B4688" w:rsidRPr="009B4688" w14:paraId="63B778F0" w14:textId="77777777" w:rsidTr="009B4688">
        <w:trPr>
          <w:trHeight w:hRule="exact" w:val="1274"/>
          <w:jc w:val="center"/>
        </w:trPr>
        <w:tc>
          <w:tcPr>
            <w:tcW w:w="988" w:type="dxa"/>
            <w:shd w:val="clear" w:color="auto" w:fill="FFFFFF" w:themeFill="background1"/>
          </w:tcPr>
          <w:p w14:paraId="6FCF156F" w14:textId="77777777" w:rsidR="009B4688" w:rsidRPr="009B4688" w:rsidRDefault="009B4688" w:rsidP="009B4688">
            <w:pPr>
              <w:ind w:firstLine="0"/>
              <w:rPr>
                <w:b/>
                <w:bCs/>
                <w:sz w:val="24"/>
                <w:szCs w:val="24"/>
              </w:rPr>
            </w:pPr>
            <w:r w:rsidRPr="009B4688">
              <w:rPr>
                <w:b/>
                <w:bCs/>
                <w:sz w:val="24"/>
                <w:szCs w:val="24"/>
              </w:rPr>
              <w:t>ГР4</w:t>
            </w:r>
          </w:p>
        </w:tc>
        <w:tc>
          <w:tcPr>
            <w:tcW w:w="1417" w:type="dxa"/>
            <w:shd w:val="clear" w:color="auto" w:fill="FFFFFF" w:themeFill="background1"/>
          </w:tcPr>
          <w:p w14:paraId="76764207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proofErr w:type="gramStart"/>
            <w:r w:rsidRPr="009B4688">
              <w:rPr>
                <w:sz w:val="24"/>
                <w:szCs w:val="24"/>
              </w:rPr>
              <w:t>&lt; 0</w:t>
            </w:r>
            <w:proofErr w:type="gramEnd"/>
            <w:r w:rsidRPr="009B4688">
              <w:rPr>
                <w:sz w:val="24"/>
                <w:szCs w:val="24"/>
              </w:rPr>
              <w:t>,04</w:t>
            </w:r>
          </w:p>
        </w:tc>
        <w:tc>
          <w:tcPr>
            <w:tcW w:w="992" w:type="dxa"/>
            <w:shd w:val="clear" w:color="auto" w:fill="FFFFFF" w:themeFill="background1"/>
          </w:tcPr>
          <w:p w14:paraId="31CFF1EB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Нет</w:t>
            </w:r>
          </w:p>
        </w:tc>
        <w:tc>
          <w:tcPr>
            <w:tcW w:w="1104" w:type="dxa"/>
            <w:shd w:val="clear" w:color="auto" w:fill="FFFFFF" w:themeFill="background1"/>
          </w:tcPr>
          <w:p w14:paraId="11808317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Нет</w:t>
            </w:r>
          </w:p>
        </w:tc>
        <w:tc>
          <w:tcPr>
            <w:tcW w:w="1237" w:type="dxa"/>
            <w:shd w:val="clear" w:color="auto" w:fill="FFFFFF" w:themeFill="background1"/>
          </w:tcPr>
          <w:p w14:paraId="0A31BE1C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Нет</w:t>
            </w:r>
          </w:p>
        </w:tc>
        <w:tc>
          <w:tcPr>
            <w:tcW w:w="1314" w:type="dxa"/>
            <w:shd w:val="clear" w:color="auto" w:fill="FFFFFF" w:themeFill="background1"/>
          </w:tcPr>
          <w:p w14:paraId="3156E6DA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</w:t>
            </w:r>
          </w:p>
        </w:tc>
        <w:tc>
          <w:tcPr>
            <w:tcW w:w="1276" w:type="dxa"/>
            <w:shd w:val="clear" w:color="auto" w:fill="FFFFFF" w:themeFill="background1"/>
          </w:tcPr>
          <w:p w14:paraId="6DE31940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</w:t>
            </w:r>
          </w:p>
        </w:tc>
        <w:tc>
          <w:tcPr>
            <w:tcW w:w="2021" w:type="dxa"/>
            <w:shd w:val="clear" w:color="auto" w:fill="FFFFFF" w:themeFill="background1"/>
          </w:tcPr>
          <w:p w14:paraId="3C4CA735" w14:textId="77777777" w:rsidR="009B4688" w:rsidRPr="009B4688" w:rsidRDefault="009B4688" w:rsidP="009B4688">
            <w:pPr>
              <w:ind w:firstLine="0"/>
              <w:rPr>
                <w:sz w:val="24"/>
                <w:szCs w:val="24"/>
              </w:rPr>
            </w:pPr>
            <w:r w:rsidRPr="009B4688">
              <w:rPr>
                <w:sz w:val="24"/>
                <w:szCs w:val="24"/>
              </w:rPr>
              <w:t>Да, для изделия или пробного образца, если используются органические составляющие</w:t>
            </w:r>
          </w:p>
        </w:tc>
      </w:tr>
    </w:tbl>
    <w:p w14:paraId="10A7837B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 </w:t>
      </w:r>
    </w:p>
    <w:p w14:paraId="056BB591" w14:textId="77777777" w:rsidR="009B4688" w:rsidRPr="009B4688" w:rsidRDefault="009B4688" w:rsidP="009B4688">
      <w:pPr>
        <w:rPr>
          <w:bCs/>
          <w:sz w:val="24"/>
          <w:szCs w:val="24"/>
        </w:rPr>
      </w:pPr>
      <w:r w:rsidRPr="009B4688">
        <w:rPr>
          <w:bCs/>
          <w:sz w:val="24"/>
          <w:szCs w:val="24"/>
        </w:rPr>
        <w:t>⁽¹⁾ Пороговое значение для запаха.</w:t>
      </w:r>
    </w:p>
    <w:p w14:paraId="102131C7" w14:textId="77777777" w:rsidR="009B4688" w:rsidRPr="009B4688" w:rsidRDefault="009B4688" w:rsidP="009B4688">
      <w:pPr>
        <w:rPr>
          <w:bCs/>
          <w:sz w:val="24"/>
          <w:szCs w:val="24"/>
        </w:rPr>
      </w:pPr>
      <w:r w:rsidRPr="009B4688">
        <w:rPr>
          <w:bCs/>
          <w:sz w:val="24"/>
          <w:szCs w:val="24"/>
        </w:rPr>
        <w:t>⁽²⁾ Пороговое значение для аромата.</w:t>
      </w:r>
    </w:p>
    <w:p w14:paraId="647F5850" w14:textId="77777777" w:rsidR="009B4688" w:rsidRPr="009B4688" w:rsidRDefault="009B4688" w:rsidP="009B4688">
      <w:pPr>
        <w:rPr>
          <w:b/>
          <w:bCs/>
          <w:sz w:val="24"/>
          <w:szCs w:val="24"/>
        </w:rPr>
      </w:pPr>
    </w:p>
    <w:p w14:paraId="046BD7AC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bCs/>
          <w:sz w:val="24"/>
          <w:szCs w:val="24"/>
        </w:rPr>
        <w:t>3.</w:t>
      </w:r>
      <w:r w:rsidRPr="009B4688">
        <w:rPr>
          <w:sz w:val="24"/>
          <w:szCs w:val="24"/>
        </w:rPr>
        <w:t> Исследование рецептуры</w:t>
      </w:r>
    </w:p>
    <w:p w14:paraId="383D967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Исследование рецептуры проводится в соответствии с требованиями, приведенными в таблице 1.</w:t>
      </w:r>
    </w:p>
    <w:p w14:paraId="2DC1F074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iCs/>
          <w:sz w:val="24"/>
          <w:szCs w:val="24"/>
        </w:rPr>
        <w:t>3.1.</w:t>
      </w:r>
      <w:r w:rsidRPr="009B4688">
        <w:rPr>
          <w:i/>
          <w:sz w:val="24"/>
          <w:szCs w:val="24"/>
        </w:rPr>
        <w:t> Необходимая информация</w:t>
      </w:r>
    </w:p>
    <w:p w14:paraId="043265D7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3.1.1. Для каждого конечного материала на цементной основе исследование рецептуры должно включать следующую информацию:</w:t>
      </w:r>
    </w:p>
    <w:p w14:paraId="1C79987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3.1.1.1. перечень всех составляющих (включая информацию об их примесях), используемых для производства конечного материала на цементной основе;</w:t>
      </w:r>
    </w:p>
    <w:p w14:paraId="7FDAB8E9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3.1.1.2. соответствующий массовый процент (м/м %) составляющих по отношению к содержанию цемента, используемого для производства конечного материала на цементной основе;</w:t>
      </w:r>
    </w:p>
    <w:p w14:paraId="04F4BEE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3.1.1.3. любая другая информация, считающаяся актуальной для оценки рецептуры конечного материала на цементной основе.</w:t>
      </w:r>
    </w:p>
    <w:p w14:paraId="3C4B778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3.1.2. Предельное значение, при котором не требуется подробная информация о рецептуре конечного материала, выраженное в процентах по массе в рецептуре, составляет 0,02 % (г/г) по отношению к содержанию цемента для одной составляющей.</w:t>
      </w:r>
    </w:p>
    <w:p w14:paraId="19C9CAE0" w14:textId="45BE2A11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 xml:space="preserve">3.1.3. Рецептура оценивается и сравнивается с допустимыми составляющими, включенными в перечень органических составляющих для материалов на цементной </w:t>
      </w:r>
      <w:r w:rsidRPr="009B4688">
        <w:rPr>
          <w:sz w:val="24"/>
          <w:szCs w:val="24"/>
        </w:rPr>
        <w:lastRenderedPageBreak/>
        <w:t xml:space="preserve">основе, утвержденный в соответствии с пунктом 6 </w:t>
      </w:r>
      <w:r w:rsidRPr="009B4688">
        <w:rPr>
          <w:iCs/>
          <w:sz w:val="24"/>
          <w:szCs w:val="24"/>
        </w:rPr>
        <w:t>Регламента</w:t>
      </w:r>
      <w:r w:rsidRPr="009B4688">
        <w:rPr>
          <w:sz w:val="24"/>
          <w:szCs w:val="24"/>
        </w:rPr>
        <w:t>, и с допустимыми исходными веществами, включенными в перечень для органических материалов, когда это уместно. Оценка должна определять соответствующие вещества, которые необходимо анализировать в миграционной воде.</w:t>
      </w:r>
    </w:p>
    <w:p w14:paraId="6D78BAB4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3.2.</w:t>
      </w:r>
      <w:r w:rsidRPr="009B4688">
        <w:rPr>
          <w:i/>
          <w:iCs/>
          <w:sz w:val="24"/>
          <w:szCs w:val="24"/>
        </w:rPr>
        <w:t> Соответствующие вещества</w:t>
      </w:r>
    </w:p>
    <w:p w14:paraId="4B9F8898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Соответствующие вещества, которые должны анализироваться в миграционной воде:</w:t>
      </w:r>
    </w:p>
    <w:p w14:paraId="42481D24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3.2.1. органические составляющие на цементной основе, используемые в рецептуре конечного материала на цементной основе, которые включены в перечень органических составляющих для материалов на цементной основе или в перечень исходных веществ для органических материалов, утвержденные в соответствии с пунктом 6 Регламента, и к которым применяется значение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;  </w:t>
      </w:r>
    </w:p>
    <w:p w14:paraId="6392B376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3.2.2. примеси, продукты разложения или реакции, указанные в условиях использования в перечне органических составляющих для материалов на цементной основе или указанные в условиях использования в перечне исходных веществ для органических материалов, утвержденных в соответствии с пунктом 6 Регламента, которые были использованы в рецептуре;</w:t>
      </w:r>
    </w:p>
    <w:p w14:paraId="0DFB975A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3.2.3. органические составляющие на цементной основе, использованные в рецептуре, их примеси и продукты разложения и реакции, которые не указаны в перечне органических составляющих для материалов на цементной основе или в перечне исходных веществ для органических материалов, утвержденных в соответствии с пунктом 6 Регламента, но которые допускаются на основании пункта 3.3; </w:t>
      </w:r>
    </w:p>
    <w:p w14:paraId="07EA173D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3.2.4. металлы, для которых существуют значения </w:t>
      </w:r>
      <w:proofErr w:type="spellStart"/>
      <w:proofErr w:type="gram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r w:rsidRPr="009B4688">
        <w:rPr>
          <w:iCs/>
          <w:sz w:val="24"/>
          <w:szCs w:val="24"/>
        </w:rPr>
        <w:t>,</w:t>
      </w:r>
      <w:r w:rsidRPr="009B4688">
        <w:rPr>
          <w:iCs/>
          <w:sz w:val="24"/>
          <w:szCs w:val="24"/>
          <w:vertAlign w:val="subscript"/>
        </w:rPr>
        <w:t>cementitious</w:t>
      </w:r>
      <w:proofErr w:type="spellEnd"/>
      <w:proofErr w:type="gramEnd"/>
      <w:r w:rsidRPr="009B4688">
        <w:rPr>
          <w:iCs/>
          <w:sz w:val="24"/>
          <w:szCs w:val="24"/>
          <w:vertAlign w:val="subscript"/>
        </w:rPr>
        <w:t>,</w:t>
      </w:r>
      <w:r w:rsidRPr="009B4688">
        <w:rPr>
          <w:iCs/>
          <w:sz w:val="24"/>
          <w:szCs w:val="24"/>
        </w:rPr>
        <w:t xml:space="preserve"> утвержденные в соответствии с пунктом 6 Регламента;</w:t>
      </w:r>
    </w:p>
    <w:p w14:paraId="62F366D1" w14:textId="2B60A9BD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3.2.5. первичные ароматические амины (ПАА), если в рецептуре используются органические пигменты или красители, не соответствующие требованиям чистоты, предусмотренным в пункте 14 приложения № 1, или если испытание на чистоту не проводилось.</w:t>
      </w:r>
    </w:p>
    <w:p w14:paraId="2EBC441B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3.3</w:t>
      </w:r>
      <w:r w:rsidRPr="009B4688">
        <w:rPr>
          <w:i/>
          <w:iCs/>
          <w:sz w:val="24"/>
          <w:szCs w:val="24"/>
        </w:rPr>
        <w:t>. Допустимые составляющие</w:t>
      </w:r>
    </w:p>
    <w:p w14:paraId="078D9408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Конечные материалы на цементной основе содержат только органические составляющие на цементной основе, включенные в перечень органических составляющих для материалов на цементной основе и в перечень исходных веществ для органических материалов, утвержденные в соответствии с пунктом 6 Регламента.</w:t>
      </w:r>
    </w:p>
    <w:p w14:paraId="5D74B0AD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3.3.1. Разрешается использование следующих дополнительных составляющих:</w:t>
      </w:r>
    </w:p>
    <w:p w14:paraId="60AAB869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3.3.1.1. неорганических составляющих;</w:t>
      </w:r>
    </w:p>
    <w:p w14:paraId="10716CA3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iCs/>
          <w:sz w:val="24"/>
          <w:szCs w:val="24"/>
        </w:rPr>
        <w:t>3.3.1.2. органических составляющих на цементной основе, для которых не существует возможности их миграции, включая продукты их реакции, в количествах, превышающих 0,1 мкг/л в питьевой воде. Это применяется только к веществам, не относящимся ни к одной из следующих категорий:</w:t>
      </w:r>
    </w:p>
    <w:p w14:paraId="6A61708B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3.3.1.2.1. вещества, классифицированные как канцерогенные, мутагенные, токсичные для репродуктивной системы категории 1A или 1B, эндокринные разрушители (ЭР), влияющие на здоровье человека категории 1, стойкие, </w:t>
      </w:r>
      <w:proofErr w:type="spellStart"/>
      <w:r w:rsidRPr="009B4688">
        <w:rPr>
          <w:sz w:val="24"/>
          <w:szCs w:val="24"/>
        </w:rPr>
        <w:t>биоаккумулирующиеся</w:t>
      </w:r>
      <w:proofErr w:type="spellEnd"/>
      <w:r w:rsidRPr="009B4688">
        <w:rPr>
          <w:sz w:val="24"/>
          <w:szCs w:val="24"/>
        </w:rPr>
        <w:t xml:space="preserve"> и токсичные (СБТ) вещества или очень стойкие и очень </w:t>
      </w:r>
      <w:proofErr w:type="spellStart"/>
      <w:r w:rsidRPr="009B4688">
        <w:rPr>
          <w:sz w:val="24"/>
          <w:szCs w:val="24"/>
        </w:rPr>
        <w:t>биоаккумулирующиеся</w:t>
      </w:r>
      <w:proofErr w:type="spellEnd"/>
      <w:r w:rsidRPr="009B4688">
        <w:rPr>
          <w:sz w:val="24"/>
          <w:szCs w:val="24"/>
        </w:rPr>
        <w:t xml:space="preserve"> (</w:t>
      </w:r>
      <w:proofErr w:type="spellStart"/>
      <w:r w:rsidRPr="009B4688">
        <w:rPr>
          <w:sz w:val="24"/>
          <w:szCs w:val="24"/>
        </w:rPr>
        <w:t>вСвБ</w:t>
      </w:r>
      <w:proofErr w:type="spellEnd"/>
      <w:r w:rsidRPr="009B4688">
        <w:rPr>
          <w:sz w:val="24"/>
          <w:szCs w:val="24"/>
        </w:rPr>
        <w:t xml:space="preserve">) вещества, в соответствии с Законом № 277/2018 о химических веществах, со свойствами ЭР, СБТ или </w:t>
      </w:r>
      <w:proofErr w:type="spellStart"/>
      <w:r w:rsidRPr="009B4688">
        <w:rPr>
          <w:sz w:val="24"/>
          <w:szCs w:val="24"/>
        </w:rPr>
        <w:t>вСвБ</w:t>
      </w:r>
      <w:proofErr w:type="spellEnd"/>
      <w:r w:rsidRPr="009B4688">
        <w:rPr>
          <w:sz w:val="24"/>
          <w:szCs w:val="24"/>
        </w:rPr>
        <w:t>;</w:t>
      </w:r>
    </w:p>
    <w:p w14:paraId="372781B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3.3.1.2.2. вещества, намеренно добавленные в </w:t>
      </w:r>
      <w:proofErr w:type="spellStart"/>
      <w:r w:rsidRPr="009B4688">
        <w:rPr>
          <w:sz w:val="24"/>
          <w:szCs w:val="24"/>
        </w:rPr>
        <w:t>наноформе</w:t>
      </w:r>
      <w:proofErr w:type="spellEnd"/>
      <w:r w:rsidRPr="009B4688">
        <w:rPr>
          <w:sz w:val="24"/>
          <w:szCs w:val="24"/>
        </w:rPr>
        <w:t xml:space="preserve">.  </w:t>
      </w:r>
    </w:p>
    <w:p w14:paraId="01A79DE0" w14:textId="77777777" w:rsidR="009B4688" w:rsidRPr="009B4688" w:rsidRDefault="009B4688" w:rsidP="009B4688">
      <w:pPr>
        <w:rPr>
          <w:sz w:val="24"/>
          <w:szCs w:val="24"/>
        </w:rPr>
      </w:pPr>
    </w:p>
    <w:p w14:paraId="093B22FE" w14:textId="2C67866E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3.4.</w:t>
      </w:r>
      <w:r w:rsidRPr="009B4688">
        <w:rPr>
          <w:sz w:val="24"/>
          <w:szCs w:val="24"/>
        </w:rPr>
        <w:t xml:space="preserve"> Для принятия составляющих материалов на цементной основе необходимо учитывать соответствующие спецификации из перечней органических компонентов для материалов на цементной основе, утвержденных в соответствии с пунктом 6 Регламента.  </w:t>
      </w:r>
    </w:p>
    <w:p w14:paraId="3CBA0E94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3.5.</w:t>
      </w:r>
      <w:r w:rsidRPr="009B4688">
        <w:rPr>
          <w:i/>
          <w:iCs/>
          <w:sz w:val="24"/>
          <w:szCs w:val="24"/>
        </w:rPr>
        <w:t> Специфические требования к материалам</w:t>
      </w:r>
    </w:p>
    <w:p w14:paraId="2379E5BB" w14:textId="297AD858" w:rsidR="009B4688" w:rsidRPr="009B4688" w:rsidRDefault="009B4688" w:rsidP="009B4688">
      <w:pPr>
        <w:rPr>
          <w:iCs/>
          <w:sz w:val="24"/>
          <w:szCs w:val="24"/>
          <w:lang w:val="ru-MD"/>
        </w:rPr>
      </w:pPr>
      <w:r w:rsidRPr="009B4688">
        <w:rPr>
          <w:iCs/>
          <w:sz w:val="24"/>
          <w:szCs w:val="24"/>
        </w:rPr>
        <w:t>Если используются пигменты и красители, они должны соответствовать критериям чистоты, определенным в таблице 8 приложения № 1, и не мигрировать в количествах, превышающих 0,1 мкг/л.</w:t>
      </w:r>
    </w:p>
    <w:p w14:paraId="38E14748" w14:textId="1812EF81" w:rsidR="009B4688" w:rsidRPr="009B4688" w:rsidRDefault="009B4688" w:rsidP="009B4688">
      <w:pPr>
        <w:ind w:firstLine="0"/>
        <w:jc w:val="center"/>
        <w:rPr>
          <w:b/>
          <w:iCs/>
          <w:sz w:val="24"/>
          <w:szCs w:val="24"/>
          <w:lang w:val="en-US"/>
        </w:rPr>
      </w:pPr>
      <w:r w:rsidRPr="009B4688">
        <w:rPr>
          <w:b/>
          <w:iCs/>
          <w:sz w:val="24"/>
          <w:szCs w:val="24"/>
        </w:rPr>
        <w:t>Требования к испытаниям</w:t>
      </w:r>
    </w:p>
    <w:p w14:paraId="35786B1A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b/>
          <w:iCs/>
          <w:sz w:val="24"/>
          <w:szCs w:val="24"/>
        </w:rPr>
        <w:t>4</w:t>
      </w:r>
      <w:r w:rsidRPr="009B4688">
        <w:rPr>
          <w:iCs/>
          <w:sz w:val="24"/>
          <w:szCs w:val="24"/>
        </w:rPr>
        <w:t>. Испытание на миграцию</w:t>
      </w:r>
    </w:p>
    <w:p w14:paraId="204973C7" w14:textId="365C9027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 xml:space="preserve">Испытание органических покрытий с неорганическими наполнителями проводится в соответствии с пунктом 4 приложения № 1. Если </w:t>
      </w:r>
      <w:proofErr w:type="gramStart"/>
      <w:r w:rsidRPr="009B4688">
        <w:rPr>
          <w:iCs/>
          <w:sz w:val="24"/>
          <w:szCs w:val="24"/>
        </w:rPr>
        <w:t>pH &gt;</w:t>
      </w:r>
      <w:proofErr w:type="gramEnd"/>
      <w:r w:rsidRPr="009B4688">
        <w:rPr>
          <w:iCs/>
          <w:sz w:val="24"/>
          <w:szCs w:val="24"/>
        </w:rPr>
        <w:t xml:space="preserve"> 9,5 в конечной миграционной воде, испытание следует считать недействительным, изделие следует оценивать как изделие </w:t>
      </w:r>
      <w:bookmarkStart w:id="4" w:name="_Hlk207109706"/>
      <w:r w:rsidRPr="009B4688">
        <w:rPr>
          <w:iCs/>
          <w:sz w:val="24"/>
          <w:szCs w:val="24"/>
        </w:rPr>
        <w:t>на цементной основе</w:t>
      </w:r>
      <w:bookmarkEnd w:id="4"/>
      <w:r w:rsidRPr="009B4688">
        <w:rPr>
          <w:iCs/>
          <w:sz w:val="24"/>
          <w:szCs w:val="24"/>
        </w:rPr>
        <w:t>, а испытание проводится в соответствии с пунктом 4.</w:t>
      </w:r>
    </w:p>
    <w:p w14:paraId="3CEB540A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sz w:val="24"/>
          <w:szCs w:val="24"/>
        </w:rPr>
        <w:t>4.1.</w:t>
      </w:r>
      <w:r w:rsidRPr="009B4688">
        <w:rPr>
          <w:i/>
          <w:iCs/>
          <w:sz w:val="24"/>
          <w:szCs w:val="24"/>
        </w:rPr>
        <w:t> Спецификации для тестирования конечных материалов</w:t>
      </w:r>
      <w:r w:rsidRPr="009B4688">
        <w:rPr>
          <w:sz w:val="24"/>
          <w:szCs w:val="24"/>
        </w:rPr>
        <w:t xml:space="preserve"> </w:t>
      </w:r>
      <w:r w:rsidRPr="009B4688">
        <w:rPr>
          <w:i/>
          <w:iCs/>
          <w:sz w:val="24"/>
          <w:szCs w:val="24"/>
        </w:rPr>
        <w:t>на цементной основе на миграцию органолептических параметров (запах, аромат, цвет и мутность), ООУ, соответствующих и неожиданных веществ</w:t>
      </w:r>
    </w:p>
    <w:p w14:paraId="2B03C6B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4.1.1. Испытательные образцы</w:t>
      </w:r>
    </w:p>
    <w:p w14:paraId="4AEA63F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Для изделия или компонента, размеры которого не позволяют провести испытание на практике, предоставляется репрезентативный испытательный образец. Особое внимание уделяется изготовлению испытательного образца.</w:t>
      </w:r>
    </w:p>
    <w:p w14:paraId="1D09071E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4.1.2. Предварительная подготовка образцов</w:t>
      </w:r>
    </w:p>
    <w:p w14:paraId="7E62D95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Образцы подготавливаются путем погружения в деминерализованную воду, содержащую безводный хлорид кальция [(222 ± 2) мг CaCl2 L-1] и бикарбонат натрия [ (336 ± 2) NaHCO3 мг L-1], которая доводится до уровня pH (7,4 ± 0,1) путем барботирования воздухом или CO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>.</w:t>
      </w:r>
    </w:p>
    <w:p w14:paraId="31380D4F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Образцы предварительно кондиционируются при (23 ± 2) °C в течение трех последовательных периодов по (24 ± 1) часа, за которыми следует период (72 ± 1) часа и период (24 ± 1) часа. После каждого периода вода удаляется, а образец не промывается. Если уровень pH последней воды для предварительной подготовки превышает 9,5, предварительная подготовка повторяется с новыми образцами.</w:t>
      </w:r>
    </w:p>
    <w:p w14:paraId="4E63668A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После пятой предварительной подготовки образец немедленно подвергается испытанию на миграцию.</w:t>
      </w:r>
    </w:p>
    <w:p w14:paraId="5661A9FA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 Испытание на миграцию</w:t>
      </w:r>
    </w:p>
    <w:p w14:paraId="7BC2C098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Пробные образцы погружают в воду для испытания на миграцию при указанной температуре и на указанный период времени.</w:t>
      </w:r>
    </w:p>
    <w:p w14:paraId="7963932E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4.1.3.1. Вода для испытания на миграцию запаха, вкуса, цвета, мутности и ООУ</w:t>
      </w:r>
    </w:p>
    <w:p w14:paraId="7C125799" w14:textId="77777777" w:rsidR="009B4688" w:rsidRPr="009B4688" w:rsidRDefault="009B4688" w:rsidP="009B4688">
      <w:pPr>
        <w:rPr>
          <w:sz w:val="24"/>
          <w:szCs w:val="24"/>
        </w:rPr>
      </w:pPr>
      <w:proofErr w:type="spellStart"/>
      <w:r w:rsidRPr="009B4688">
        <w:rPr>
          <w:sz w:val="24"/>
          <w:szCs w:val="24"/>
        </w:rPr>
        <w:t>Нехлорированная</w:t>
      </w:r>
      <w:proofErr w:type="spellEnd"/>
      <w:r w:rsidRPr="009B4688">
        <w:rPr>
          <w:sz w:val="24"/>
          <w:szCs w:val="24"/>
        </w:rPr>
        <w:t xml:space="preserve"> вода для испытания на миграцию должна быть природной негазированной водой или деминерализованной водой, содержащей безводный хлорид кальция [(222 ± 2) мг CaCl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 xml:space="preserve">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>], бикарбонат натрия [ (482 ± 2) NaHCO</w:t>
      </w:r>
      <w:r w:rsidRPr="009B4688">
        <w:rPr>
          <w:sz w:val="24"/>
          <w:szCs w:val="24"/>
          <w:vertAlign w:val="subscript"/>
        </w:rPr>
        <w:t>3</w:t>
      </w:r>
      <w:r w:rsidRPr="009B4688">
        <w:rPr>
          <w:sz w:val="24"/>
          <w:szCs w:val="24"/>
        </w:rPr>
        <w:t xml:space="preserve"> мг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>] и силикат натрия [(71 ± 1) Na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>SiO</w:t>
      </w:r>
      <w:r w:rsidRPr="009B4688">
        <w:rPr>
          <w:sz w:val="24"/>
          <w:szCs w:val="24"/>
          <w:vertAlign w:val="subscript"/>
        </w:rPr>
        <w:t>3</w:t>
      </w:r>
      <w:r w:rsidRPr="009B4688">
        <w:rPr>
          <w:sz w:val="24"/>
          <w:szCs w:val="24"/>
        </w:rPr>
        <w:t>·9·H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>O мг L-1]. Она должна иметь уровень pH (7,4 ± 0,1) путем барботирования воздухом или CO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 xml:space="preserve">, проводимость (500 ± 50) </w:t>
      </w:r>
      <w:proofErr w:type="spellStart"/>
      <w:r w:rsidRPr="009B4688">
        <w:rPr>
          <w:sz w:val="24"/>
          <w:szCs w:val="24"/>
        </w:rPr>
        <w:t>μS</w:t>
      </w:r>
      <w:proofErr w:type="spellEnd"/>
      <w:r w:rsidRPr="009B4688">
        <w:rPr>
          <w:sz w:val="24"/>
          <w:szCs w:val="24"/>
        </w:rPr>
        <w:t xml:space="preserve"> см 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>, щелочность (350 ± 50) мг HCO</w:t>
      </w:r>
      <w:r w:rsidRPr="009B4688">
        <w:rPr>
          <w:sz w:val="24"/>
          <w:szCs w:val="24"/>
          <w:vertAlign w:val="subscript"/>
        </w:rPr>
        <w:t>3</w:t>
      </w:r>
      <w:r w:rsidRPr="009B4688">
        <w:rPr>
          <w:sz w:val="24"/>
          <w:szCs w:val="24"/>
        </w:rPr>
        <w:t>-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, концентрацию кальция (80 ± 10) мг 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 L и концентрацию кремнезема (15 ± 5) мг SiO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 xml:space="preserve">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. </w:t>
      </w:r>
      <w:proofErr w:type="spellStart"/>
      <w:r w:rsidRPr="009B4688">
        <w:rPr>
          <w:sz w:val="24"/>
          <w:szCs w:val="24"/>
        </w:rPr>
        <w:t>Нехлорированная</w:t>
      </w:r>
      <w:proofErr w:type="spellEnd"/>
      <w:r w:rsidRPr="009B4688">
        <w:rPr>
          <w:sz w:val="24"/>
          <w:szCs w:val="24"/>
        </w:rPr>
        <w:t xml:space="preserve"> испытательная вода для определения миграции не должна иметь запаха (&lt; 2 TON), вкуса (&lt; 2 TFN), цвета (&lt; 0,1 m-1), мутности (&lt; 0,1 FNU) и ООУ (&lt; </w:t>
      </w:r>
      <w:r w:rsidRPr="009B4688">
        <w:rPr>
          <w:sz w:val="24"/>
          <w:szCs w:val="24"/>
        </w:rPr>
        <w:lastRenderedPageBreak/>
        <w:t>0,2 мг C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). </w:t>
      </w:r>
      <w:proofErr w:type="spellStart"/>
      <w:r w:rsidRPr="009B4688">
        <w:rPr>
          <w:sz w:val="24"/>
          <w:szCs w:val="24"/>
        </w:rPr>
        <w:t>Нехлорированная</w:t>
      </w:r>
      <w:proofErr w:type="spellEnd"/>
      <w:r w:rsidRPr="009B4688">
        <w:rPr>
          <w:sz w:val="24"/>
          <w:szCs w:val="24"/>
        </w:rPr>
        <w:t xml:space="preserve"> вода для испытания на миграцию состоит из </w:t>
      </w:r>
      <w:proofErr w:type="spellStart"/>
      <w:r w:rsidRPr="009B4688">
        <w:rPr>
          <w:sz w:val="24"/>
          <w:szCs w:val="24"/>
        </w:rPr>
        <w:t>нехлорированной</w:t>
      </w:r>
      <w:proofErr w:type="spellEnd"/>
      <w:r w:rsidRPr="009B4688">
        <w:rPr>
          <w:sz w:val="24"/>
          <w:szCs w:val="24"/>
        </w:rPr>
        <w:t xml:space="preserve"> испытательной воды с содержанием (1,0 ± 0,2) мг L</w:t>
      </w:r>
      <w:r w:rsidRPr="009B4688">
        <w:rPr>
          <w:sz w:val="24"/>
          <w:szCs w:val="24"/>
          <w:vertAlign w:val="superscript"/>
        </w:rPr>
        <w:t xml:space="preserve">-1 </w:t>
      </w:r>
      <w:r w:rsidRPr="009B4688">
        <w:rPr>
          <w:sz w:val="24"/>
          <w:szCs w:val="24"/>
        </w:rPr>
        <w:t>свободного хлора.</w:t>
      </w:r>
    </w:p>
    <w:p w14:paraId="66B78D9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4.1.3.2. Вода для испытания миграции соответствующих и непредвиденных веществ.</w:t>
      </w:r>
    </w:p>
    <w:p w14:paraId="2ABF507E" w14:textId="77777777" w:rsidR="009B4688" w:rsidRPr="009B4688" w:rsidRDefault="009B4688" w:rsidP="009B4688">
      <w:pPr>
        <w:rPr>
          <w:sz w:val="24"/>
          <w:szCs w:val="24"/>
        </w:rPr>
      </w:pPr>
      <w:proofErr w:type="spellStart"/>
      <w:r w:rsidRPr="009B4688">
        <w:rPr>
          <w:sz w:val="24"/>
          <w:szCs w:val="24"/>
        </w:rPr>
        <w:t>Нехлорированная</w:t>
      </w:r>
      <w:proofErr w:type="spellEnd"/>
      <w:r w:rsidRPr="009B4688">
        <w:rPr>
          <w:sz w:val="24"/>
          <w:szCs w:val="24"/>
        </w:rPr>
        <w:t xml:space="preserve"> вода для испытания миграции должна быть деминерализованной водой, содержащей безводный хлорид кальция [(110 ± 1) мг CaCl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 xml:space="preserve">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>], бикарбонат натрия [ (140 ± 1) NaHCO</w:t>
      </w:r>
      <w:r w:rsidRPr="009B4688">
        <w:rPr>
          <w:sz w:val="24"/>
          <w:szCs w:val="24"/>
          <w:vertAlign w:val="subscript"/>
        </w:rPr>
        <w:t>3</w:t>
      </w:r>
      <w:r w:rsidRPr="009B4688">
        <w:rPr>
          <w:sz w:val="24"/>
          <w:szCs w:val="24"/>
        </w:rPr>
        <w:t xml:space="preserve"> мг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>] и силикат натрия [(48 ± 1) Na</w:t>
      </w:r>
      <w:r w:rsidRPr="009B4688">
        <w:rPr>
          <w:sz w:val="24"/>
          <w:szCs w:val="24"/>
          <w:vertAlign w:val="subscript"/>
        </w:rPr>
        <w:t>2</w:t>
      </w:r>
      <w:r w:rsidRPr="009B4688">
        <w:rPr>
          <w:sz w:val="24"/>
          <w:szCs w:val="24"/>
        </w:rPr>
        <w:t>SiO</w:t>
      </w:r>
      <w:r w:rsidRPr="009B4688">
        <w:rPr>
          <w:sz w:val="24"/>
          <w:szCs w:val="24"/>
          <w:vertAlign w:val="subscript"/>
        </w:rPr>
        <w:t>3</w:t>
      </w:r>
      <w:r w:rsidRPr="009B4688">
        <w:rPr>
          <w:sz w:val="24"/>
          <w:szCs w:val="24"/>
        </w:rPr>
        <w:t>·9·H2O мг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]. Она должна иметь уровень pH (7,0 ± 0,1) путем барботирования воздухом или CO2. </w:t>
      </w:r>
      <w:proofErr w:type="spellStart"/>
      <w:r w:rsidRPr="009B4688">
        <w:rPr>
          <w:sz w:val="24"/>
          <w:szCs w:val="24"/>
        </w:rPr>
        <w:t>Нехлорированная</w:t>
      </w:r>
      <w:proofErr w:type="spellEnd"/>
      <w:r w:rsidRPr="009B4688">
        <w:rPr>
          <w:sz w:val="24"/>
          <w:szCs w:val="24"/>
        </w:rPr>
        <w:t xml:space="preserve"> вода для испытания на миграцию состоит из </w:t>
      </w:r>
      <w:proofErr w:type="spellStart"/>
      <w:r w:rsidRPr="009B4688">
        <w:rPr>
          <w:sz w:val="24"/>
          <w:szCs w:val="24"/>
        </w:rPr>
        <w:t>нехлорированной</w:t>
      </w:r>
      <w:proofErr w:type="spellEnd"/>
      <w:r w:rsidRPr="009B4688">
        <w:rPr>
          <w:sz w:val="24"/>
          <w:szCs w:val="24"/>
        </w:rPr>
        <w:t xml:space="preserve"> испытательной воды с содержанием (1,0 ± 0,2) мг L</w:t>
      </w:r>
      <w:r w:rsidRPr="009B4688">
        <w:rPr>
          <w:sz w:val="24"/>
          <w:szCs w:val="24"/>
          <w:vertAlign w:val="superscript"/>
        </w:rPr>
        <w:t>-1</w:t>
      </w:r>
      <w:r w:rsidRPr="009B4688">
        <w:rPr>
          <w:sz w:val="24"/>
          <w:szCs w:val="24"/>
        </w:rPr>
        <w:t xml:space="preserve"> свободного хлора.</w:t>
      </w:r>
    </w:p>
    <w:p w14:paraId="087FB09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4.1.3.3. Температура воды для испытания на миграцию</w:t>
      </w:r>
    </w:p>
    <w:p w14:paraId="25A56665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Все изделия должны испытываться при 23 °C ± 2 °C (условие испытания с холодной водой). Кроме того, изделия, обычно используемые для горячей или кипящей воды, должны испытываться при 60 °C ± 2 °C или, соответственно, при 85 °C ± 2 °C. В этом смысле горячая вода соответствует нормальным рабочим температурам от 30 °C до 70 °C, а кипящая вода соответствует рабочим температурам, превышающим 70 °C.</w:t>
      </w:r>
    </w:p>
    <w:p w14:paraId="5556019D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4.1.3.4. Продолжительность испытаний на миграцию</w:t>
      </w:r>
    </w:p>
    <w:p w14:paraId="5F88C477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Пробный образец с холодной водой должен находиться в контакте с испытательной водой в течение 72 ч ± 1 ч. Образец для испытаний при высоких температурах должен находиться в контакте с водой в течение 24 часов. Испытание повторяется не менее двух раз, каждый раз с использованием свежей испытательной воды. Для испытаний с холодной водой анализируются образцы миграции за 1, 2 и 3-й периоды миграции. Соответствие критериям приемлемости/неприемлемости оценивается в 3-м периоде миграции. Если критерии приемлемости/неприемлемости (см. пункты 6 и 7) не соблюдены в 3-м периоде миграции, испытание может быть продлено, при этом необходимо дополнительно проанализировать 5, 7 и 9-й периоды. В этом случае критерии приемлемости/неприемлемости оцениваются в 9-м периоде миграции. </w:t>
      </w:r>
    </w:p>
    <w:p w14:paraId="1CE600AB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Для испытаний с теплой или горячей водой анализируются образцы миграции за 1, 6 и 7-й периоды миграции. Соблюдение критериев приемлемости/неприемлемости оценивается в 7-м периоде миграции. Если критерии приемлемости/неприемлемости (см. пункты 6 и 7) не соблюдаются в 7-м периоде миграции, испытание может быть продлено, при этом необходимо дополнительно проанализировать 12, 17 и 22-й периоды. В этом случае критерии приемлемости/неприемлемости оцениваются в 22-м периоде миграции.</w:t>
      </w:r>
    </w:p>
    <w:p w14:paraId="3EB4682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4.1.3.5.</w:t>
      </w:r>
      <w:r w:rsidRPr="009B4688">
        <w:rPr>
          <w:sz w:val="24"/>
          <w:szCs w:val="24"/>
          <w:lang w:val="en-US"/>
        </w:rPr>
        <w:t> </w:t>
      </w:r>
      <w:r w:rsidRPr="009B4688">
        <w:rPr>
          <w:sz w:val="24"/>
          <w:szCs w:val="24"/>
        </w:rPr>
        <w:t>Соотношение поверхность/объем (П/О)</w:t>
      </w:r>
    </w:p>
    <w:p w14:paraId="2A0B82D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Выбирается наибольшее соотношение П/О, характерное для группы изделий.</w:t>
      </w:r>
    </w:p>
    <w:p w14:paraId="16A67B0C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4.1.3.6.</w:t>
      </w:r>
      <w:r w:rsidRPr="009B4688">
        <w:rPr>
          <w:sz w:val="24"/>
          <w:szCs w:val="24"/>
          <w:lang w:val="en-US"/>
        </w:rPr>
        <w:t> </w:t>
      </w:r>
      <w:r w:rsidRPr="009B4688">
        <w:rPr>
          <w:sz w:val="24"/>
          <w:szCs w:val="24"/>
        </w:rPr>
        <w:t>Дополнительные спецификации</w:t>
      </w:r>
    </w:p>
    <w:p w14:paraId="0BCB3D2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Для получения дополнительных сведений об испытании органолептических параметров, ООУ и соответствующих и неожиданных веществ используются соответствующие европейские стандарты или, в случае их отсутствия, признанные на международной уровне методы. </w:t>
      </w:r>
    </w:p>
    <w:p w14:paraId="00235205" w14:textId="1A9CFA83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 xml:space="preserve">Испытание с холодной водой (23 °C ± 2 °C) проводится с хлорированной и </w:t>
      </w:r>
      <w:proofErr w:type="spellStart"/>
      <w:r w:rsidRPr="009B4688">
        <w:rPr>
          <w:sz w:val="24"/>
          <w:szCs w:val="24"/>
        </w:rPr>
        <w:t>нехлорированной</w:t>
      </w:r>
      <w:proofErr w:type="spellEnd"/>
      <w:r w:rsidRPr="009B4688">
        <w:rPr>
          <w:sz w:val="24"/>
          <w:szCs w:val="24"/>
        </w:rPr>
        <w:t xml:space="preserve"> испытательной водой. При необходимости испытания с теплой или горячей водой испытание проводится только с </w:t>
      </w:r>
      <w:proofErr w:type="spellStart"/>
      <w:r w:rsidRPr="009B4688">
        <w:rPr>
          <w:sz w:val="24"/>
          <w:szCs w:val="24"/>
        </w:rPr>
        <w:t>нехлорированной</w:t>
      </w:r>
      <w:proofErr w:type="spellEnd"/>
      <w:r w:rsidRPr="009B4688">
        <w:rPr>
          <w:sz w:val="24"/>
          <w:szCs w:val="24"/>
        </w:rPr>
        <w:t xml:space="preserve"> испытательной водой.</w:t>
      </w:r>
    </w:p>
    <w:p w14:paraId="660E2C82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iCs/>
          <w:sz w:val="24"/>
          <w:szCs w:val="24"/>
        </w:rPr>
        <w:t>4.2.</w:t>
      </w:r>
      <w:r w:rsidRPr="009B4688">
        <w:rPr>
          <w:i/>
          <w:sz w:val="24"/>
          <w:szCs w:val="24"/>
        </w:rPr>
        <w:t> Анализ миграционных вод</w:t>
      </w:r>
    </w:p>
    <w:p w14:paraId="48CE54E3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4.2.1. Соответствующие вещества</w:t>
      </w:r>
    </w:p>
    <w:p w14:paraId="2E9B72A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Соответствующие вещества, определенные в подпункте 3.2, анализируются в мигрирующих водах. </w:t>
      </w:r>
    </w:p>
    <w:p w14:paraId="1C89BFD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lastRenderedPageBreak/>
        <w:t>Методы анализа соответствующих веществ в миграционных водах должны быть валидированы и документированы в соответствии с SM EN ISO/IEC 17025:2018 или другими эквивалентными стандартами, принятыми на международном уровне.</w:t>
      </w:r>
    </w:p>
    <w:p w14:paraId="6B907E47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4.2.2. Неожиданные вещества</w:t>
      </w:r>
    </w:p>
    <w:p w14:paraId="2149635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Для идентификации и полуколичественного анализа неожиданных веществ может использоваться скрининг GC-MS или скрининг, проводимый с помощью других аналитических методов. </w:t>
      </w:r>
    </w:p>
    <w:p w14:paraId="177458F9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Неожиданные вещества определяются только в миграционных водах из теста с холодной водой.</w:t>
      </w:r>
    </w:p>
    <w:p w14:paraId="6585F88F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4.2.3. Другие соответствующие параметры</w:t>
      </w:r>
    </w:p>
    <w:p w14:paraId="36F73172" w14:textId="60509D64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>Методы анализа других соответствующих параметров в миграционных водах должны быть валидированы и документированы в соответствии с SM EN ISO/IEC 17025:2018 или другими эквивалентными стандартами, принятыми на международном уровне.</w:t>
      </w:r>
    </w:p>
    <w:p w14:paraId="4430C625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4.3.</w:t>
      </w:r>
      <w:r w:rsidRPr="009B4688">
        <w:rPr>
          <w:i/>
          <w:iCs/>
          <w:sz w:val="24"/>
          <w:szCs w:val="24"/>
        </w:rPr>
        <w:t> Математическое моделирование</w:t>
      </w:r>
    </w:p>
    <w:p w14:paraId="1E2E4A37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Если существуют общепризнанные модели диффузии, основанные на экспериментальных данных, математическое моделирование для оценки уровней миграции может использоваться в качестве альтернативы испытаниям на миграцию соответствующих веществ для определенных типов конечных материалов на цементной основе.</w:t>
      </w:r>
    </w:p>
    <w:p w14:paraId="70E1F279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Если эти признанные модели диффузии предусматривают, что миграция вещества соответствует максимально допустимой концентрации в кране (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>), испытание на миграцию для этих веществ не требуется. Для оценки определенных параметров и для моделирования определяется содержание соответствующих веществ в конечном материале.</w:t>
      </w:r>
    </w:p>
    <w:p w14:paraId="27200BA3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В случае если соответствие не доказано с помощью моделей, проводится испытание на миграцию.</w:t>
      </w:r>
    </w:p>
    <w:p w14:paraId="12A278D5" w14:textId="6943924E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Для определения концентрации соответствующего вещества в миграционной воде используются только валидированные математические модели, применимые к материалам на цементной основе</w:t>
      </w:r>
    </w:p>
    <w:p w14:paraId="7E024EFA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4.4. </w:t>
      </w:r>
      <w:r w:rsidRPr="009B4688">
        <w:rPr>
          <w:i/>
          <w:iCs/>
          <w:sz w:val="24"/>
          <w:szCs w:val="24"/>
        </w:rPr>
        <w:t>Испытания на стимулирование роста микроорганизмов (СРМ)</w:t>
      </w:r>
    </w:p>
    <w:p w14:paraId="51077E9E" w14:textId="13C29764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Испытания на стимулирование роста микроорганизмов проводятся в случае использования органических составляющих в соответствии с рецептурой. Для испытаний на стимулирование роста микроорганизмов используется стандарт SM EN 16421:2017 – метод 1 или 2.</w:t>
      </w:r>
    </w:p>
    <w:p w14:paraId="0B641950" w14:textId="1343312F" w:rsidR="009B4688" w:rsidRPr="009B4688" w:rsidRDefault="009B4688" w:rsidP="009B4688">
      <w:pPr>
        <w:ind w:firstLine="0"/>
        <w:jc w:val="center"/>
        <w:rPr>
          <w:b/>
          <w:sz w:val="24"/>
          <w:szCs w:val="24"/>
          <w:lang w:val="ru-MD"/>
        </w:rPr>
      </w:pPr>
      <w:r w:rsidRPr="009B4688">
        <w:rPr>
          <w:b/>
          <w:sz w:val="24"/>
          <w:szCs w:val="24"/>
        </w:rPr>
        <w:t>Требования к приемке: критерии приемки/отклонения</w:t>
      </w:r>
    </w:p>
    <w:p w14:paraId="1A2BB9A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sz w:val="24"/>
          <w:szCs w:val="24"/>
        </w:rPr>
        <w:t>5.</w:t>
      </w:r>
      <w:r w:rsidRPr="009B4688">
        <w:rPr>
          <w:sz w:val="24"/>
          <w:szCs w:val="24"/>
        </w:rPr>
        <w:t> Рецептура</w:t>
      </w:r>
    </w:p>
    <w:p w14:paraId="1A7D055F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Используются органические составляющие на цементной основе из рецептуры, указанной в перечне органических составляющих для материалов на цементной основе и в перечне исходных веществ для органических материалов, утвержденных в соответствии с пунктом </w:t>
      </w:r>
      <w:r w:rsidRPr="009B4688">
        <w:rPr>
          <w:sz w:val="24"/>
          <w:szCs w:val="24"/>
        </w:rPr>
        <w:br/>
        <w:t xml:space="preserve">6 </w:t>
      </w:r>
      <w:r w:rsidRPr="009B4688">
        <w:rPr>
          <w:iCs/>
          <w:sz w:val="24"/>
          <w:szCs w:val="24"/>
        </w:rPr>
        <w:t>Регламента</w:t>
      </w:r>
      <w:r w:rsidRPr="009B4688">
        <w:rPr>
          <w:sz w:val="24"/>
          <w:szCs w:val="24"/>
        </w:rPr>
        <w:t>:</w:t>
      </w:r>
    </w:p>
    <w:p w14:paraId="4943C39C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iCs/>
          <w:sz w:val="24"/>
          <w:szCs w:val="24"/>
        </w:rPr>
        <w:t>5.1.</w:t>
      </w:r>
      <w:r w:rsidRPr="009B4688">
        <w:rPr>
          <w:sz w:val="24"/>
          <w:szCs w:val="24"/>
        </w:rPr>
        <w:t> в соответствии с технической функцией, указанной в перечнях исходных веществ, составов или составляющих для каждой группы материалов, а именно органических, на цементной основе, металлических, эмалей и керамики или других неорганических материалов;</w:t>
      </w:r>
    </w:p>
    <w:p w14:paraId="62E556B1" w14:textId="0FB2E41E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5.2</w:t>
      </w:r>
      <w:r w:rsidRPr="009B4688">
        <w:rPr>
          <w:i/>
          <w:sz w:val="24"/>
          <w:szCs w:val="24"/>
        </w:rPr>
        <w:t>.</w:t>
      </w:r>
      <w:r w:rsidRPr="009B4688">
        <w:rPr>
          <w:sz w:val="24"/>
          <w:szCs w:val="24"/>
        </w:rPr>
        <w:t xml:space="preserve"> в соответствии с условиями использования, установленными в списках исходных веществ, составов или составляющих для каждой группы материалов, а именно </w:t>
      </w:r>
      <w:r w:rsidRPr="009B4688">
        <w:rPr>
          <w:sz w:val="24"/>
          <w:szCs w:val="24"/>
        </w:rPr>
        <w:lastRenderedPageBreak/>
        <w:t>органических, на цементной основе, металлических, эмалей и керамики или других неорганических материалов.</w:t>
      </w:r>
    </w:p>
    <w:p w14:paraId="133B9FA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sz w:val="24"/>
          <w:szCs w:val="24"/>
        </w:rPr>
        <w:t>6</w:t>
      </w:r>
      <w:r w:rsidRPr="009B4688">
        <w:rPr>
          <w:sz w:val="24"/>
          <w:szCs w:val="24"/>
        </w:rPr>
        <w:t>. Соответствующие вещества, неожиданные вещества</w:t>
      </w:r>
    </w:p>
    <w:p w14:paraId="71681A29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iCs/>
          <w:sz w:val="24"/>
          <w:szCs w:val="24"/>
        </w:rPr>
        <w:t>6.1.</w:t>
      </w:r>
      <w:r w:rsidRPr="009B4688">
        <w:rPr>
          <w:i/>
          <w:sz w:val="24"/>
          <w:szCs w:val="24"/>
        </w:rPr>
        <w:t> Преобразование результатов испытаний на миграцию</w:t>
      </w:r>
    </w:p>
    <w:p w14:paraId="41C090F4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Результаты испытаний на миграцию выражаются в виде коэффициентов миграции (M) в мг/(дм</w:t>
      </w:r>
      <w:r w:rsidRPr="009B4688">
        <w:rPr>
          <w:sz w:val="24"/>
          <w:szCs w:val="24"/>
          <w:vertAlign w:val="superscript"/>
        </w:rPr>
        <w:t>2</w:t>
      </w:r>
      <w:r w:rsidRPr="009B4688">
        <w:rPr>
          <w:sz w:val="24"/>
          <w:szCs w:val="24"/>
        </w:rPr>
        <w:t>д). Эти результаты должны быть преобразованы для оценки концентраций в кране (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), определяемых как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= M * КП, где КП – соответствующий коэффициент преобразования в д/дм.</w:t>
      </w:r>
    </w:p>
    <w:p w14:paraId="1385B670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Коэффициенты преобразования для различных групп изделий приведены в таблице 5 приложения № 1.</w:t>
      </w:r>
    </w:p>
    <w:p w14:paraId="0BB49958" w14:textId="77777777" w:rsidR="009B4688" w:rsidRPr="009B4688" w:rsidRDefault="009B4688" w:rsidP="009B4688">
      <w:pPr>
        <w:rPr>
          <w:sz w:val="24"/>
          <w:szCs w:val="24"/>
        </w:rPr>
      </w:pPr>
    </w:p>
    <w:p w14:paraId="2A6B705B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6.2.</w:t>
      </w:r>
      <w:r w:rsidRPr="009B4688">
        <w:rPr>
          <w:i/>
          <w:iCs/>
          <w:sz w:val="24"/>
          <w:szCs w:val="24"/>
        </w:rPr>
        <w:t> Критерии приемки/отклонения для соответствующих веществ</w:t>
      </w:r>
    </w:p>
    <w:p w14:paraId="76C20D0D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6.2.1. Следующие требования применяются к испытанию на миграцию в холодной воде:</w:t>
      </w:r>
    </w:p>
    <w:p w14:paraId="0D7B9C32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6.2.1.1. 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≤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для 3-го периода миграции или, если требуется продление испытания, для 9-го периода миграции;</w:t>
      </w:r>
    </w:p>
    <w:p w14:paraId="5A23D000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6.2.1.2. значение 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не должно иметь тенденцию к увеличению с течением времени. </w:t>
      </w:r>
    </w:p>
    <w:p w14:paraId="2AEF85CA" w14:textId="77777777" w:rsidR="009B4688" w:rsidRPr="009B4688" w:rsidRDefault="009B4688" w:rsidP="009B4688">
      <w:pPr>
        <w:rPr>
          <w:iCs/>
          <w:sz w:val="24"/>
          <w:szCs w:val="24"/>
        </w:rPr>
      </w:pPr>
    </w:p>
    <w:p w14:paraId="41EC5E8A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6.2.2. Следующие требования применяются к испытанию на миграцию с использованием теплой/горячей воды:</w:t>
      </w:r>
    </w:p>
    <w:p w14:paraId="23F3AAE7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6.2.2.1. 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≤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для 7-го периода миграции или, если необходимо продлить испытание, для 22-го периода миграции;</w:t>
      </w:r>
    </w:p>
    <w:p w14:paraId="55F0206E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6.2.2.2. значение 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не должно иметь тенденцию к увеличению с течением времени.</w:t>
      </w:r>
    </w:p>
    <w:p w14:paraId="781904DC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6.2.3. Для оценки тенденции используются концентрации вещества, измеренные в воде для испытания на миграцию в последующих периодах миграции. Однако, если значение 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в соответствующем периоде миграции составляет менее 1/10 от значения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>, анализ тенденции не требуется.</w:t>
      </w:r>
    </w:p>
    <w:p w14:paraId="092207EF" w14:textId="5CE5FDC2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 xml:space="preserve">6.2.4. Для металлов применяются значения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, </w:t>
      </w:r>
      <w:proofErr w:type="spellStart"/>
      <w:r w:rsidRPr="009B4688">
        <w:rPr>
          <w:iCs/>
          <w:sz w:val="24"/>
          <w:szCs w:val="24"/>
          <w:vertAlign w:val="subscript"/>
        </w:rPr>
        <w:t>cementitious</w:t>
      </w:r>
      <w:proofErr w:type="spellEnd"/>
      <w:r w:rsidRPr="009B4688">
        <w:rPr>
          <w:iCs/>
          <w:sz w:val="24"/>
          <w:szCs w:val="24"/>
        </w:rPr>
        <w:t>, как будет указано в перечнях, утвержденных в соответствии с пунктом 7 Регламента.</w:t>
      </w:r>
    </w:p>
    <w:p w14:paraId="7997094D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6.3.</w:t>
      </w:r>
      <w:r w:rsidRPr="009B4688">
        <w:rPr>
          <w:i/>
          <w:iCs/>
          <w:sz w:val="24"/>
          <w:szCs w:val="24"/>
        </w:rPr>
        <w:t> Критерии приемки/отклонения для неожиданных веществ</w:t>
      </w:r>
    </w:p>
    <w:p w14:paraId="324CD8FE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6.3.1. Следующее требование применяется к испытанию на миграцию с использованием холодной воды: </w:t>
      </w:r>
    </w:p>
    <w:p w14:paraId="492D523A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6.3.1.1. </w:t>
      </w:r>
      <w:proofErr w:type="spellStart"/>
      <w:r w:rsidRPr="009B4688">
        <w:rPr>
          <w:iCs/>
          <w:sz w:val="24"/>
          <w:szCs w:val="24"/>
        </w:rPr>
        <w:t>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≤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для 3-го периода миграции или, если необходимо продлить испытание, для 9-го периода миграции.</w:t>
      </w:r>
    </w:p>
    <w:p w14:paraId="6AB85F9F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 xml:space="preserve">6.3.1.2. Значения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для неожиданных веществ установлены в таблице 6 приложения № 1. В случае некоторых изделий на цементной основе соотношение П/О не позволяет соблюдать установленный предел для органических материалов, а именно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= 1 мкг/л.</w:t>
      </w:r>
    </w:p>
    <w:p w14:paraId="376B632E" w14:textId="7E44D16A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 xml:space="preserve">6.3.2. В этом случае применяется значение </w:t>
      </w:r>
      <w:proofErr w:type="spellStart"/>
      <w:r w:rsidRPr="009B4688">
        <w:rPr>
          <w:iCs/>
          <w:sz w:val="24"/>
          <w:szCs w:val="24"/>
        </w:rPr>
        <w:t>MTC</w:t>
      </w:r>
      <w:r w:rsidRPr="009B4688">
        <w:rPr>
          <w:iCs/>
          <w:sz w:val="24"/>
          <w:szCs w:val="24"/>
          <w:vertAlign w:val="subscript"/>
        </w:rPr>
        <w:t>tap</w:t>
      </w:r>
      <w:proofErr w:type="spellEnd"/>
      <w:r w:rsidRPr="009B4688">
        <w:rPr>
          <w:iCs/>
          <w:sz w:val="24"/>
          <w:szCs w:val="24"/>
        </w:rPr>
        <w:t xml:space="preserve"> &lt;предел количественного определения для самого высокого соотношения П/О.</w:t>
      </w:r>
    </w:p>
    <w:p w14:paraId="2DC8B926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sz w:val="24"/>
          <w:szCs w:val="24"/>
        </w:rPr>
        <w:t>6.4.</w:t>
      </w:r>
      <w:r w:rsidRPr="009B4688">
        <w:rPr>
          <w:i/>
          <w:iCs/>
          <w:sz w:val="24"/>
          <w:szCs w:val="24"/>
        </w:rPr>
        <w:t> Критерии приемлемости/неприемлемости для содержания общего органического углерода (ООУ)</w:t>
      </w:r>
    </w:p>
    <w:p w14:paraId="0873ADB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6.4.1. Следующие требования применяются к испытанию на миграцию с использованием холодной воды:</w:t>
      </w:r>
    </w:p>
    <w:p w14:paraId="58DB0C55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6.4.1.1. 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0,5 мг/л для 3-го периода миграции или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0,5 мг/л для 9-го периода миграции и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2,0 мг/л для 3-го периода миграции;</w:t>
      </w:r>
    </w:p>
    <w:p w14:paraId="6674F91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lastRenderedPageBreak/>
        <w:t xml:space="preserve">6.4.1.2. значение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не должно иметь тенденцию к увеличению с течением времени. </w:t>
      </w:r>
    </w:p>
    <w:p w14:paraId="3084A38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6.4.2. Следующие требования применяются к испытанию на миграцию с использованием теплой/горячей воды:</w:t>
      </w:r>
    </w:p>
    <w:p w14:paraId="6B82200C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6.4.2.1. 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0,5 мг/л для 7-го периода миграции или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0,5 мг/л для 22-го периода миграции и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≤ 2,0 мг/л для 7-го периода миграции;</w:t>
      </w:r>
    </w:p>
    <w:p w14:paraId="7A145A6D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6.4.2.2. значение </w:t>
      </w:r>
      <w:proofErr w:type="spellStart"/>
      <w:r w:rsidRPr="009B4688">
        <w:rPr>
          <w:sz w:val="24"/>
          <w:szCs w:val="24"/>
        </w:rPr>
        <w:t>C</w:t>
      </w:r>
      <w:r w:rsidRPr="009B4688">
        <w:rPr>
          <w:sz w:val="24"/>
          <w:szCs w:val="24"/>
          <w:vertAlign w:val="subscript"/>
        </w:rPr>
        <w:t>tap</w:t>
      </w:r>
      <w:proofErr w:type="spellEnd"/>
      <w:r w:rsidRPr="009B4688">
        <w:rPr>
          <w:sz w:val="24"/>
          <w:szCs w:val="24"/>
        </w:rPr>
        <w:t xml:space="preserve"> не должно иметь тенденцию к увеличению с течением времени.</w:t>
      </w:r>
    </w:p>
    <w:p w14:paraId="54E6E057" w14:textId="56DB216B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>6.4.3. Для оценки тенденции используется ООУ, измеренный в миграционной воде из последовательных периодов миграции. Однако, если ООУ в соответствующем периоде миграции ниже 0,2 мг/л, анализ тенденции не требуется.</w:t>
      </w:r>
    </w:p>
    <w:p w14:paraId="3839532E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b/>
          <w:sz w:val="24"/>
          <w:szCs w:val="24"/>
        </w:rPr>
        <w:t>7.</w:t>
      </w:r>
      <w:r w:rsidRPr="009B4688">
        <w:rPr>
          <w:sz w:val="24"/>
          <w:szCs w:val="24"/>
        </w:rPr>
        <w:t> Запах, вкус, цвет и мутность</w:t>
      </w:r>
    </w:p>
    <w:p w14:paraId="0A38E2EE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iCs/>
          <w:sz w:val="24"/>
          <w:szCs w:val="24"/>
        </w:rPr>
        <w:t>7.1</w:t>
      </w:r>
      <w:r w:rsidRPr="009B4688">
        <w:rPr>
          <w:i/>
          <w:sz w:val="24"/>
          <w:szCs w:val="24"/>
        </w:rPr>
        <w:t>. Критерии приемлемости/неприемлемости для TON и TFN</w:t>
      </w:r>
    </w:p>
    <w:p w14:paraId="4366886C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7.1.1. Следующие требования применяются к испытанию на миграцию с использованием холодной воды:</w:t>
      </w:r>
    </w:p>
    <w:p w14:paraId="4F8C6768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7.1.1.1. TON, TFN ≤ 2,0 для 3-го периода миграции; или</w:t>
      </w:r>
    </w:p>
    <w:p w14:paraId="5867E84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7.1.1.2. TON, TFN ≤ 2,0 для 9-го периода миграции и TON ≤ 4,0 для 3-го периода миграции. </w:t>
      </w:r>
    </w:p>
    <w:p w14:paraId="2545FFE6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7.1.2. Следующие требования применяются к тесту на миграцию с горячей/кипящей водой:</w:t>
      </w:r>
    </w:p>
    <w:p w14:paraId="0976DED1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7.1.2.1. TON, TFN ≤ 2,0 для 7-го периода миграции; или </w:t>
      </w:r>
    </w:p>
    <w:p w14:paraId="57CCE0AA" w14:textId="06752362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 xml:space="preserve">7.1.2.2. TON, TFN ≤ 2,0 для 22-го периода миграции и TON, TFN ≤ 4,0 для 7-го периода миграции. </w:t>
      </w:r>
    </w:p>
    <w:p w14:paraId="69D3AF2D" w14:textId="77777777" w:rsidR="009B4688" w:rsidRPr="009B4688" w:rsidRDefault="009B4688" w:rsidP="009B4688">
      <w:pPr>
        <w:rPr>
          <w:i/>
          <w:sz w:val="24"/>
          <w:szCs w:val="24"/>
        </w:rPr>
      </w:pPr>
      <w:r w:rsidRPr="009B4688">
        <w:rPr>
          <w:iCs/>
          <w:sz w:val="24"/>
          <w:szCs w:val="24"/>
        </w:rPr>
        <w:t>7.2. </w:t>
      </w:r>
      <w:r w:rsidRPr="009B4688">
        <w:rPr>
          <w:i/>
          <w:sz w:val="24"/>
          <w:szCs w:val="24"/>
        </w:rPr>
        <w:t>Критерии приемки/отклонения по цвету</w:t>
      </w:r>
    </w:p>
    <w:p w14:paraId="78F42DE2" w14:textId="77777777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 xml:space="preserve">7.2.1. Критерий приемки по цвету составляет ≤ 5 мг/л </w:t>
      </w:r>
      <w:proofErr w:type="spellStart"/>
      <w:r w:rsidRPr="009B4688">
        <w:rPr>
          <w:sz w:val="24"/>
          <w:szCs w:val="24"/>
        </w:rPr>
        <w:t>Pt</w:t>
      </w:r>
      <w:proofErr w:type="spellEnd"/>
      <w:r w:rsidRPr="009B4688">
        <w:rPr>
          <w:sz w:val="24"/>
          <w:szCs w:val="24"/>
        </w:rPr>
        <w:t>/Co.</w:t>
      </w:r>
    </w:p>
    <w:p w14:paraId="3C23C9C7" w14:textId="217E544F" w:rsidR="009B4688" w:rsidRPr="009B4688" w:rsidRDefault="009B4688" w:rsidP="009B4688">
      <w:pPr>
        <w:rPr>
          <w:sz w:val="24"/>
          <w:szCs w:val="24"/>
          <w:lang w:val="en-US"/>
        </w:rPr>
      </w:pPr>
      <w:r w:rsidRPr="009B4688">
        <w:rPr>
          <w:sz w:val="24"/>
          <w:szCs w:val="24"/>
        </w:rPr>
        <w:t>7.2.2. Критерий должен соблюдаться для 3-го периода миграции для испытания на миграцию с холодной водой / 7-го периода миграции для испытания на миграцию с теплой/горячей водой или, в случае продления испытания, для 9-го периода миграции для испытания на миграцию с холодной водой / 22-го периода миграции для испытания на миграцию с теплой/горячей водой.</w:t>
      </w:r>
    </w:p>
    <w:p w14:paraId="44009A94" w14:textId="77777777" w:rsidR="009B4688" w:rsidRPr="009B4688" w:rsidRDefault="009B4688" w:rsidP="009B4688">
      <w:pPr>
        <w:rPr>
          <w:i/>
          <w:iCs/>
          <w:sz w:val="24"/>
          <w:szCs w:val="24"/>
        </w:rPr>
      </w:pPr>
      <w:r w:rsidRPr="009B4688">
        <w:rPr>
          <w:sz w:val="24"/>
          <w:szCs w:val="24"/>
        </w:rPr>
        <w:t>7.3.</w:t>
      </w:r>
      <w:r w:rsidRPr="009B4688">
        <w:rPr>
          <w:i/>
          <w:iCs/>
          <w:sz w:val="24"/>
          <w:szCs w:val="24"/>
        </w:rPr>
        <w:t> Критерии приемки/отклонения для мутности</w:t>
      </w:r>
    </w:p>
    <w:p w14:paraId="6636FDF3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iCs/>
          <w:sz w:val="24"/>
          <w:szCs w:val="24"/>
        </w:rPr>
        <w:t>7.3.1. Критерий приемки для мутности составляет ≤ 0,5 FNU.</w:t>
      </w:r>
    </w:p>
    <w:p w14:paraId="6ADEF43B" w14:textId="3122DCD3" w:rsidR="009B4688" w:rsidRPr="009B4688" w:rsidRDefault="009B4688" w:rsidP="009B4688">
      <w:pPr>
        <w:rPr>
          <w:iCs/>
          <w:sz w:val="24"/>
          <w:szCs w:val="24"/>
          <w:lang w:val="en-US"/>
        </w:rPr>
      </w:pPr>
      <w:r w:rsidRPr="009B4688">
        <w:rPr>
          <w:iCs/>
          <w:sz w:val="24"/>
          <w:szCs w:val="24"/>
        </w:rPr>
        <w:t>7.3.2. Критерий должен быть соблюден для 3-го периода миграции для испытания на миграцию с холодной водой / 7-й период миграции для испытания на миграцию с горячей/кипящей водой или, в случае продления испытания, для 9-го периода миграции для испытания на миграцию с холодной водой / 22-го периода миграции для испытания на миграцию с горячей/кипящей водой.</w:t>
      </w:r>
    </w:p>
    <w:p w14:paraId="064C5F64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b/>
          <w:iCs/>
          <w:sz w:val="24"/>
          <w:szCs w:val="24"/>
        </w:rPr>
        <w:t>8.</w:t>
      </w:r>
      <w:r w:rsidRPr="009B4688">
        <w:rPr>
          <w:iCs/>
          <w:sz w:val="24"/>
          <w:szCs w:val="24"/>
        </w:rPr>
        <w:t> Стимулирование роста микроорганизмов (СРМ)</w:t>
      </w:r>
    </w:p>
    <w:p w14:paraId="3AF43ECB" w14:textId="77777777" w:rsidR="009B4688" w:rsidRPr="009B4688" w:rsidRDefault="009B4688" w:rsidP="009B4688">
      <w:pPr>
        <w:rPr>
          <w:iCs/>
          <w:sz w:val="24"/>
          <w:szCs w:val="24"/>
        </w:rPr>
      </w:pPr>
      <w:r w:rsidRPr="009B4688">
        <w:rPr>
          <w:sz w:val="24"/>
          <w:szCs w:val="24"/>
        </w:rPr>
        <w:t>8.1.</w:t>
      </w:r>
      <w:r w:rsidRPr="009B4688">
        <w:rPr>
          <w:i/>
          <w:iCs/>
          <w:sz w:val="24"/>
          <w:szCs w:val="24"/>
        </w:rPr>
        <w:t> </w:t>
      </w:r>
      <w:r w:rsidRPr="009B4688">
        <w:rPr>
          <w:iCs/>
          <w:sz w:val="24"/>
          <w:szCs w:val="24"/>
        </w:rPr>
        <w:t xml:space="preserve">Критерий приемки/отклонения для стимулирования роста микроорганизмов (СРМ) для метода 1 (SM EN 16421:2017) составляет </w:t>
      </w:r>
      <w:r w:rsidRPr="009B4688">
        <w:rPr>
          <w:iCs/>
          <w:sz w:val="24"/>
          <w:szCs w:val="24"/>
        </w:rPr>
        <w:br/>
        <w:t xml:space="preserve">&lt; 1 000 </w:t>
      </w:r>
      <w:proofErr w:type="spellStart"/>
      <w:r w:rsidRPr="009B4688">
        <w:rPr>
          <w:iCs/>
          <w:sz w:val="24"/>
          <w:szCs w:val="24"/>
        </w:rPr>
        <w:t>пг</w:t>
      </w:r>
      <w:proofErr w:type="spellEnd"/>
      <w:r w:rsidRPr="009B4688">
        <w:rPr>
          <w:iCs/>
          <w:sz w:val="24"/>
          <w:szCs w:val="24"/>
        </w:rPr>
        <w:t xml:space="preserve"> АТР/см2, а для метода 2 (SM EN 16421:2017) ≤ (0,05 ± 0,02) мл/800 см</w:t>
      </w:r>
      <w:r w:rsidRPr="009B4688">
        <w:rPr>
          <w:iCs/>
          <w:sz w:val="24"/>
          <w:szCs w:val="24"/>
          <w:vertAlign w:val="superscript"/>
        </w:rPr>
        <w:t>2</w:t>
      </w:r>
      <w:r w:rsidRPr="009B4688">
        <w:rPr>
          <w:iCs/>
          <w:sz w:val="24"/>
          <w:szCs w:val="24"/>
        </w:rPr>
        <w:t>.</w:t>
      </w:r>
    </w:p>
    <w:p w14:paraId="5C1F4A11" w14:textId="6B71A42C" w:rsidR="009B4688" w:rsidRPr="009B4688" w:rsidRDefault="009B4688" w:rsidP="009B4688">
      <w:pPr>
        <w:rPr>
          <w:sz w:val="24"/>
          <w:szCs w:val="24"/>
        </w:rPr>
      </w:pPr>
      <w:r w:rsidRPr="009B4688">
        <w:rPr>
          <w:sz w:val="24"/>
          <w:szCs w:val="24"/>
        </w:rPr>
        <w:t>8.2.</w:t>
      </w:r>
      <w:r w:rsidRPr="009B4688">
        <w:rPr>
          <w:iCs/>
          <w:sz w:val="24"/>
          <w:szCs w:val="24"/>
        </w:rPr>
        <w:t> Кроме того, поверхность изделий или компонентов не должна оказывать биоцидного воздействия на питьевую воду. Следовательно, образцы, не имеющие колонизации поверхности (сравнение мазка контактной культуры/испытательного образца с контролем отрицательного результата), не соответствуют этому требованию.</w:t>
      </w:r>
    </w:p>
    <w:p w14:paraId="16B307A6" w14:textId="77777777" w:rsidR="00F7571C" w:rsidRPr="009B4688" w:rsidRDefault="00F7571C" w:rsidP="009B4688">
      <w:pPr>
        <w:rPr>
          <w:sz w:val="24"/>
          <w:szCs w:val="24"/>
        </w:rPr>
      </w:pPr>
    </w:p>
    <w:sectPr w:rsidR="00F7571C" w:rsidRPr="009B46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57D"/>
    <w:rsid w:val="0038457D"/>
    <w:rsid w:val="009B4688"/>
    <w:rsid w:val="00AD7C19"/>
    <w:rsid w:val="00E6197B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D9674"/>
  <w15:chartTrackingRefBased/>
  <w15:docId w15:val="{E0848857-15CE-4B0F-8C3D-F8063F11F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68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8457D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8457D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8457D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8457D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8457D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8457D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8457D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8457D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8457D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8457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8457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8457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8457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8457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8457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8457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8457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8457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8457D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3845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8457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845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8457D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38457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38457D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38457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845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8457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8457D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9B4688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3213</Words>
  <Characters>18320</Characters>
  <Application>Microsoft Office Word</Application>
  <DocSecurity>0</DocSecurity>
  <Lines>152</Lines>
  <Paragraphs>42</Paragraphs>
  <ScaleCrop>false</ScaleCrop>
  <Company/>
  <LinksUpToDate>false</LinksUpToDate>
  <CharactersWithSpaces>21491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2025-09-12T05:01:00Z</dcterms:created>
  <dcterms:modified xsi:type="dcterms:W3CDTF">2025-09-12T05:02:00Z</dcterms:modified>
</cp:coreProperties>
</file>