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9FB6E" w14:textId="77777777" w:rsidR="009A66C7" w:rsidRPr="009A66C7" w:rsidRDefault="009A66C7" w:rsidP="009A66C7">
      <w:pPr>
        <w:pStyle w:val="Frspaiere"/>
        <w:jc w:val="right"/>
        <w:rPr>
          <w:rFonts w:cs="Times New Roman"/>
          <w:b w:val="0"/>
          <w:bCs/>
          <w:szCs w:val="24"/>
          <w:lang w:val="ru-MD"/>
        </w:rPr>
      </w:pPr>
      <w:r w:rsidRPr="009A66C7">
        <w:rPr>
          <w:rFonts w:cs="Times New Roman"/>
          <w:b w:val="0"/>
          <w:bCs/>
          <w:szCs w:val="24"/>
          <w:lang w:val="ru-RU"/>
        </w:rPr>
        <w:t>Приложение № 2</w:t>
      </w:r>
    </w:p>
    <w:p w14:paraId="111E6873" w14:textId="77777777" w:rsidR="009A66C7" w:rsidRDefault="009A66C7" w:rsidP="009A66C7">
      <w:pPr>
        <w:pStyle w:val="Frspaiere"/>
        <w:ind w:firstLine="0"/>
        <w:jc w:val="right"/>
        <w:rPr>
          <w:rFonts w:cs="Times New Roman"/>
          <w:b w:val="0"/>
          <w:bCs/>
          <w:szCs w:val="24"/>
        </w:rPr>
      </w:pPr>
      <w:r w:rsidRPr="009A66C7">
        <w:rPr>
          <w:rFonts w:cs="Times New Roman"/>
          <w:b w:val="0"/>
          <w:bCs/>
          <w:szCs w:val="24"/>
          <w:lang w:val="ru-RU"/>
        </w:rPr>
        <w:t>к Санитарному регламенту о материалах</w:t>
      </w:r>
    </w:p>
    <w:p w14:paraId="4ABF8D7E" w14:textId="7094A22C" w:rsidR="009A66C7" w:rsidRPr="009A66C7" w:rsidRDefault="009A66C7" w:rsidP="009A66C7">
      <w:pPr>
        <w:pStyle w:val="Frspaiere"/>
        <w:ind w:firstLine="0"/>
        <w:jc w:val="right"/>
        <w:rPr>
          <w:rFonts w:cs="Times New Roman"/>
          <w:b w:val="0"/>
          <w:bCs/>
          <w:szCs w:val="24"/>
          <w:lang w:val="ru-RU"/>
        </w:rPr>
      </w:pPr>
      <w:r w:rsidRPr="009A66C7">
        <w:rPr>
          <w:rFonts w:cs="Times New Roman"/>
          <w:b w:val="0"/>
          <w:bCs/>
          <w:szCs w:val="24"/>
          <w:lang w:val="ru-RU"/>
        </w:rPr>
        <w:t xml:space="preserve"> и веществах, вступающих в контакт </w:t>
      </w:r>
      <w:r w:rsidRPr="009A66C7">
        <w:rPr>
          <w:rFonts w:cs="Times New Roman"/>
          <w:b w:val="0"/>
          <w:bCs/>
          <w:szCs w:val="24"/>
          <w:lang w:val="ru-RU"/>
        </w:rPr>
        <w:br/>
        <w:t>с питьевой водой, и методах испытаний</w:t>
      </w:r>
    </w:p>
    <w:p w14:paraId="31A3EF25" w14:textId="77777777" w:rsidR="009A66C7" w:rsidRPr="009A66C7" w:rsidRDefault="009A66C7" w:rsidP="009A66C7">
      <w:pPr>
        <w:ind w:firstLine="0"/>
        <w:rPr>
          <w:rFonts w:eastAsia="Calibri"/>
          <w:kern w:val="2"/>
          <w:sz w:val="24"/>
          <w:szCs w:val="24"/>
          <w14:ligatures w14:val="standardContextual"/>
        </w:rPr>
      </w:pPr>
    </w:p>
    <w:p w14:paraId="7B36531F" w14:textId="5699BDFF" w:rsidR="009A66C7" w:rsidRPr="009A66C7" w:rsidRDefault="009A66C7" w:rsidP="009A66C7">
      <w:pPr>
        <w:ind w:firstLine="0"/>
        <w:jc w:val="center"/>
        <w:rPr>
          <w:rFonts w:eastAsia="Calibri"/>
          <w:b/>
          <w:kern w:val="2"/>
          <w:sz w:val="24"/>
          <w:szCs w:val="24"/>
          <w:lang w:val="ru-MD"/>
          <w14:ligatures w14:val="standardContextual"/>
        </w:rPr>
      </w:pP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t>КОНЕЧНЫЕ МЕТАЛЛИЧЕСКИЕ МАТЕРИАЛЫ</w:t>
      </w:r>
    </w:p>
    <w:p w14:paraId="54DCC403" w14:textId="3C9A85FB" w:rsidR="009A66C7" w:rsidRPr="009A66C7" w:rsidRDefault="009A66C7" w:rsidP="009A66C7">
      <w:pPr>
        <w:ind w:firstLine="0"/>
        <w:jc w:val="center"/>
        <w:rPr>
          <w:rFonts w:eastAsia="Calibri"/>
          <w:b/>
          <w:kern w:val="2"/>
          <w:sz w:val="24"/>
          <w:szCs w:val="24"/>
          <w:lang w:val="ru-MD"/>
          <w14:ligatures w14:val="standardContextual"/>
        </w:rPr>
      </w:pP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t xml:space="preserve">Процедура и методы испытания и приемки </w:t>
      </w: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br/>
        <w:t>конечных металлических материалов</w:t>
      </w:r>
    </w:p>
    <w:p w14:paraId="34588221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b/>
          <w:bCs/>
          <w:kern w:val="2"/>
          <w:sz w:val="24"/>
          <w:szCs w:val="24"/>
          <w14:ligatures w14:val="standardContextual"/>
        </w:rPr>
        <w:t>1.</w:t>
      </w:r>
      <w:r w:rsidRPr="009A66C7">
        <w:rPr>
          <w:rFonts w:eastAsia="Calibri"/>
          <w:kern w:val="2"/>
          <w:sz w:val="24"/>
          <w:szCs w:val="24"/>
          <w14:ligatures w14:val="standardContextual"/>
        </w:rPr>
        <w:t> Процедура испытания и приемки конечных металлических материалов, используемых в изделии, включает следующие этапы:</w:t>
      </w:r>
    </w:p>
    <w:p w14:paraId="4284FA10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1.1. этап 1 – Определение </w:t>
      </w:r>
      <w:bookmarkStart w:id="0" w:name="_Hlk207111253"/>
      <w:r w:rsidRPr="009A66C7">
        <w:rPr>
          <w:rFonts w:eastAsia="Calibri"/>
          <w:kern w:val="2"/>
          <w:sz w:val="24"/>
          <w:szCs w:val="24"/>
          <w14:ligatures w14:val="standardContextual"/>
        </w:rPr>
        <w:t>соответствующих</w:t>
      </w:r>
      <w:bookmarkEnd w:id="0"/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 веществ и других соответствующих параметров в зависимости от:</w:t>
      </w:r>
    </w:p>
    <w:p w14:paraId="027A1BFF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1.1.1. металлического состава конечных материалов;</w:t>
      </w:r>
    </w:p>
    <w:p w14:paraId="2190B37F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1.1.2. состава нанесенных покрытий;</w:t>
      </w:r>
    </w:p>
    <w:p w14:paraId="4742C8E9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1.2. этап 2 — Проведение испытаний:</w:t>
      </w:r>
    </w:p>
    <w:p w14:paraId="68225ED8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1.2.1. испытание состава;</w:t>
      </w:r>
    </w:p>
    <w:p w14:paraId="099D7A42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1.2.2. испытание на выделение соответствующих веществ;</w:t>
      </w:r>
    </w:p>
    <w:p w14:paraId="258D351F" w14:textId="5CEAC25A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:lang w:val="ru-MD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1.3. этап 3 – соблюдение критериев приемки/отклонения.</w:t>
      </w:r>
    </w:p>
    <w:p w14:paraId="4C7FA292" w14:textId="5058ABF4" w:rsidR="009A66C7" w:rsidRPr="009A66C7" w:rsidRDefault="009A66C7" w:rsidP="009A66C7">
      <w:pPr>
        <w:ind w:firstLine="0"/>
        <w:jc w:val="center"/>
        <w:rPr>
          <w:rFonts w:eastAsia="Calibri"/>
          <w:b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t xml:space="preserve">Определение соответствующих веществ </w:t>
      </w: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br/>
        <w:t>и других соответствующих параметров</w:t>
      </w:r>
    </w:p>
    <w:p w14:paraId="578C9806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t>2</w:t>
      </w:r>
      <w:r w:rsidRPr="009A66C7">
        <w:rPr>
          <w:rFonts w:eastAsia="Calibri"/>
          <w:kern w:val="2"/>
          <w:sz w:val="24"/>
          <w:szCs w:val="24"/>
          <w14:ligatures w14:val="standardContextual"/>
        </w:rPr>
        <w:t>. Исследование состава</w:t>
      </w:r>
    </w:p>
    <w:p w14:paraId="47B107FA" w14:textId="77777777" w:rsidR="009A66C7" w:rsidRPr="009A66C7" w:rsidRDefault="009A66C7" w:rsidP="009A66C7">
      <w:pPr>
        <w:ind w:firstLine="720"/>
        <w:rPr>
          <w:rFonts w:eastAsia="Calibri"/>
          <w:i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2.1.</w:t>
      </w:r>
      <w:r w:rsidRPr="009A66C7">
        <w:rPr>
          <w:rFonts w:eastAsia="Calibri"/>
          <w:i/>
          <w:kern w:val="2"/>
          <w:sz w:val="24"/>
          <w:szCs w:val="24"/>
          <w14:ligatures w14:val="standardContextual"/>
        </w:rPr>
        <w:t> Необходимая информация</w:t>
      </w:r>
    </w:p>
    <w:p w14:paraId="6D8BEDF0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Для исследования состава металлического изделия или сборного изделия, содержащего металлические компоненты, необходима следующая информация:</w:t>
      </w:r>
    </w:p>
    <w:p w14:paraId="2C341483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2.1.1. перечень всех металлических компонентов, включая состав основного материала в виде диапазона для всех составляющих, превышающих 0,02 % (м/м), подробные сведения об обработке с целью получения конечных металлических материалов и долю смачиваемой поверхности компонентов по отношению к смачиваемой поверхности сборного изделия;</w:t>
      </w:r>
    </w:p>
    <w:p w14:paraId="6503B709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2.1.2. перечень примененных припоев, включая подробную информацию о процессе сварки;</w:t>
      </w:r>
    </w:p>
    <w:p w14:paraId="5A91BF1E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2.1.3. подробное описание применяемых процессов нанесения покрытий;</w:t>
      </w:r>
    </w:p>
    <w:p w14:paraId="245DBC7D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2.1.4. подробное описание применяемых пропиток или органических покрытий;</w:t>
      </w:r>
    </w:p>
    <w:p w14:paraId="28CAA02D" w14:textId="42108CFA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2.1.5. любая другая информация, считающаяся актуальной для оценки состава конечного металлического материала.</w:t>
      </w:r>
    </w:p>
    <w:p w14:paraId="006FB053" w14:textId="77777777" w:rsidR="009A66C7" w:rsidRPr="009A66C7" w:rsidRDefault="009A66C7" w:rsidP="009A66C7">
      <w:pPr>
        <w:ind w:firstLine="720"/>
        <w:rPr>
          <w:rFonts w:eastAsia="Calibri"/>
          <w:i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2.2.</w:t>
      </w:r>
      <w:r w:rsidRPr="009A66C7">
        <w:rPr>
          <w:rFonts w:eastAsia="Calibri"/>
          <w:i/>
          <w:kern w:val="2"/>
          <w:sz w:val="24"/>
          <w:szCs w:val="24"/>
          <w14:ligatures w14:val="standardContextual"/>
        </w:rPr>
        <w:t> Допустимые составы</w:t>
      </w:r>
    </w:p>
    <w:p w14:paraId="49762C0B" w14:textId="0FFD1A61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2.2.1. Составы конечных металлических материалов и покрытий должны соответствовать составам и ограничениям, включенным в Перечень исходных веществ, составов или составляющих для каждой группы материалов – органических, на цементной основе, металлических, предусмотренный в пункте 6 </w:t>
      </w: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Регламента</w:t>
      </w:r>
      <w:r w:rsidRPr="009A66C7">
        <w:rPr>
          <w:rFonts w:eastAsia="Calibri"/>
          <w:kern w:val="2"/>
          <w:sz w:val="24"/>
          <w:szCs w:val="24"/>
          <w14:ligatures w14:val="standardContextual"/>
        </w:rPr>
        <w:t>, установленный в соответствии с частью (2) статьи 11 Закона № 182/2019 о качестве питьевой воды.</w:t>
      </w:r>
    </w:p>
    <w:p w14:paraId="55847AB6" w14:textId="77777777" w:rsidR="009A66C7" w:rsidRPr="009A66C7" w:rsidRDefault="009A66C7" w:rsidP="009A66C7">
      <w:pPr>
        <w:ind w:firstLine="720"/>
        <w:rPr>
          <w:rFonts w:eastAsia="Calibri"/>
          <w:i/>
          <w:iCs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2.3.</w:t>
      </w:r>
      <w:r w:rsidRPr="009A66C7">
        <w:rPr>
          <w:rFonts w:eastAsia="Calibri"/>
          <w:i/>
          <w:iCs/>
          <w:kern w:val="2"/>
          <w:sz w:val="24"/>
          <w:szCs w:val="24"/>
          <w14:ligatures w14:val="standardContextual"/>
        </w:rPr>
        <w:t xml:space="preserve"> Соответствующие вещества </w:t>
      </w:r>
    </w:p>
    <w:p w14:paraId="66D09189" w14:textId="75A2E336" w:rsidR="009A66C7" w:rsidRPr="009A66C7" w:rsidRDefault="009A66C7" w:rsidP="009A66C7">
      <w:pPr>
        <w:ind w:firstLine="720"/>
        <w:rPr>
          <w:rFonts w:eastAsia="Calibri"/>
          <w:iCs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Для плакированных изделий соответствующие вещества определяются на основе составов плакировок, перечисленных в перечнях исходных веществ, составов или составляющих для каждой группы материалов, а именно металлических, утвержденных в соответствии с пунктом 6 Регламента.</w:t>
      </w:r>
    </w:p>
    <w:p w14:paraId="51A3E3E0" w14:textId="74C99D42" w:rsidR="009A66C7" w:rsidRPr="009A66C7" w:rsidRDefault="009A66C7" w:rsidP="009A66C7">
      <w:pPr>
        <w:ind w:firstLine="0"/>
        <w:jc w:val="center"/>
        <w:rPr>
          <w:rFonts w:eastAsia="Calibri"/>
          <w:b/>
          <w:iCs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b/>
          <w:iCs/>
          <w:kern w:val="2"/>
          <w:sz w:val="24"/>
          <w:szCs w:val="24"/>
          <w14:ligatures w14:val="standardContextual"/>
        </w:rPr>
        <w:t>Требования к испытаниям</w:t>
      </w:r>
    </w:p>
    <w:p w14:paraId="1769D687" w14:textId="77777777" w:rsidR="009A66C7" w:rsidRPr="009A66C7" w:rsidRDefault="009A66C7" w:rsidP="009A66C7">
      <w:pPr>
        <w:ind w:firstLine="720"/>
        <w:rPr>
          <w:rFonts w:eastAsia="Calibri"/>
          <w:iCs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b/>
          <w:iCs/>
          <w:kern w:val="2"/>
          <w:sz w:val="24"/>
          <w:szCs w:val="24"/>
          <w14:ligatures w14:val="standardContextual"/>
        </w:rPr>
        <w:t>3.</w:t>
      </w: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 Испытание состава</w:t>
      </w:r>
    </w:p>
    <w:p w14:paraId="5257BDD4" w14:textId="77777777" w:rsidR="009A66C7" w:rsidRPr="009A66C7" w:rsidRDefault="009A66C7" w:rsidP="009A66C7">
      <w:pPr>
        <w:ind w:firstLine="720"/>
        <w:rPr>
          <w:rFonts w:eastAsia="Calibri"/>
          <w:iCs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lastRenderedPageBreak/>
        <w:t xml:space="preserve">3.1. Проводится анализ состава конечных металлических материалов для проверки соответствия требованиям к составу металлических материалов, включенных в перечни исходных веществ, составов или составляющих для каждой группы металлических материалов, утвержденные в соответствии с пунктом 7 Регламента. </w:t>
      </w:r>
    </w:p>
    <w:p w14:paraId="08CDBF0C" w14:textId="04F380BD" w:rsidR="009A66C7" w:rsidRPr="009A66C7" w:rsidRDefault="009A66C7" w:rsidP="009A66C7">
      <w:pPr>
        <w:ind w:firstLine="720"/>
        <w:rPr>
          <w:rFonts w:eastAsia="Calibri"/>
          <w:iCs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3.2. Методы анализа должны быть валидированы и документированы в соответствии с SM EN ISO/IEC 17025:2018 или другими эквивалентными стандартами, принятыми на международном уровне.</w:t>
      </w:r>
    </w:p>
    <w:p w14:paraId="5826E109" w14:textId="77777777" w:rsidR="009A66C7" w:rsidRPr="009A66C7" w:rsidRDefault="009A66C7" w:rsidP="009A66C7">
      <w:pPr>
        <w:ind w:firstLine="720"/>
        <w:rPr>
          <w:rFonts w:eastAsia="Calibri"/>
          <w:iCs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b/>
          <w:iCs/>
          <w:kern w:val="2"/>
          <w:sz w:val="24"/>
          <w:szCs w:val="24"/>
          <w14:ligatures w14:val="standardContextual"/>
        </w:rPr>
        <w:t>4</w:t>
      </w: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. Испытание на выделение соответствующих веществ из плакированных изделий</w:t>
      </w:r>
    </w:p>
    <w:p w14:paraId="66940084" w14:textId="77777777" w:rsidR="009A66C7" w:rsidRPr="009A66C7" w:rsidRDefault="009A66C7" w:rsidP="009A66C7">
      <w:pPr>
        <w:ind w:firstLine="720"/>
        <w:rPr>
          <w:rFonts w:eastAsia="Calibri"/>
          <w:iCs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4.1. Покрытые изделия должны быть испытаны на наличие поверхностных остатков в соответствии с указаниями в перечне металлических составов, утвержденном в соответствии с пунктом 6 Регламента. Испытание должно имитировать высвобождение металлических элементов в питьевую воду из крана потребителей. Методы анализа должны быть валидированы и документированы в соответствии с SM EN ISO/IEC 17025:2018 или другими эквивалентными стандартами, принятыми на международном уровне.</w:t>
      </w:r>
    </w:p>
    <w:p w14:paraId="1F6154EA" w14:textId="0C9E785A" w:rsidR="009A66C7" w:rsidRPr="009A66C7" w:rsidRDefault="009A66C7" w:rsidP="009A66C7">
      <w:pPr>
        <w:ind w:firstLine="720"/>
        <w:rPr>
          <w:rFonts w:eastAsia="Calibri"/>
          <w:iCs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iCs/>
          <w:kern w:val="2"/>
          <w:sz w:val="24"/>
          <w:szCs w:val="24"/>
          <w14:ligatures w14:val="standardContextual"/>
        </w:rPr>
        <w:t>4.2. Испытание на выделение органических веществ, используемых в процессе покрытия, проводится в соответствии с требованиями, установленными в приложении № 1.</w:t>
      </w:r>
    </w:p>
    <w:p w14:paraId="41CED75E" w14:textId="367BD62F" w:rsidR="009A66C7" w:rsidRPr="009A66C7" w:rsidRDefault="009A66C7" w:rsidP="009A66C7">
      <w:pPr>
        <w:ind w:firstLine="0"/>
        <w:jc w:val="center"/>
        <w:rPr>
          <w:rFonts w:eastAsia="Calibri"/>
          <w:b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t>Требования к приемке: критерии приемки/отклонения</w:t>
      </w:r>
    </w:p>
    <w:p w14:paraId="37290B96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t>5.</w:t>
      </w:r>
      <w:r w:rsidRPr="009A66C7">
        <w:rPr>
          <w:rFonts w:eastAsia="Calibri"/>
          <w:kern w:val="2"/>
          <w:sz w:val="24"/>
          <w:szCs w:val="24"/>
          <w14:ligatures w14:val="standardContextual"/>
        </w:rPr>
        <w:t> Соответствие перечню металлических составов:</w:t>
      </w:r>
    </w:p>
    <w:p w14:paraId="082145A6" w14:textId="47D49979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:lang w:val="en-US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>5.1. Состав анализируемых конечных металлических материалов должен соответствовать требованиям к составу и другим ограничениям, указанным в перечнях исходных веществ, составов или составляющих для каждой группы металлических материалов, утвержденных в соответствии с пунктом 7 Регламента.</w:t>
      </w:r>
    </w:p>
    <w:p w14:paraId="7F799C29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b/>
          <w:kern w:val="2"/>
          <w:sz w:val="24"/>
          <w:szCs w:val="24"/>
          <w14:ligatures w14:val="standardContextual"/>
        </w:rPr>
        <w:t>6</w:t>
      </w:r>
      <w:r w:rsidRPr="009A66C7">
        <w:rPr>
          <w:rFonts w:eastAsia="Calibri"/>
          <w:kern w:val="2"/>
          <w:sz w:val="24"/>
          <w:szCs w:val="24"/>
          <w14:ligatures w14:val="standardContextual"/>
        </w:rPr>
        <w:t>. Критерии приемки/отклонения для соответствующих веществ</w:t>
      </w:r>
    </w:p>
    <w:p w14:paraId="7768CD33" w14:textId="77777777" w:rsidR="009A66C7" w:rsidRPr="009A66C7" w:rsidRDefault="009A66C7" w:rsidP="009A66C7">
      <w:pPr>
        <w:ind w:firstLine="720"/>
        <w:rPr>
          <w:rFonts w:eastAsia="Calibri"/>
          <w:kern w:val="2"/>
          <w:sz w:val="24"/>
          <w:szCs w:val="24"/>
          <w14:ligatures w14:val="standardContextual"/>
        </w:rPr>
      </w:pPr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6.1. Требование </w:t>
      </w:r>
      <w:proofErr w:type="spellStart"/>
      <w:r w:rsidRPr="009A66C7">
        <w:rPr>
          <w:rFonts w:eastAsia="Calibri"/>
          <w:kern w:val="2"/>
          <w:sz w:val="24"/>
          <w:szCs w:val="24"/>
          <w14:ligatures w14:val="standardContextual"/>
        </w:rPr>
        <w:t>C</w:t>
      </w:r>
      <w:r w:rsidRPr="009A66C7">
        <w:rPr>
          <w:rFonts w:eastAsia="Calibri"/>
          <w:kern w:val="2"/>
          <w:sz w:val="24"/>
          <w:szCs w:val="24"/>
          <w:vertAlign w:val="subscript"/>
          <w14:ligatures w14:val="standardContextual"/>
        </w:rPr>
        <w:t>tap</w:t>
      </w:r>
      <w:proofErr w:type="spellEnd"/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 ≤ </w:t>
      </w:r>
      <w:proofErr w:type="spellStart"/>
      <w:r w:rsidRPr="009A66C7">
        <w:rPr>
          <w:rFonts w:eastAsia="Calibri"/>
          <w:kern w:val="2"/>
          <w:sz w:val="24"/>
          <w:szCs w:val="24"/>
          <w14:ligatures w14:val="standardContextual"/>
        </w:rPr>
        <w:t>MTC</w:t>
      </w:r>
      <w:r w:rsidRPr="009A66C7">
        <w:rPr>
          <w:rFonts w:eastAsia="Calibri"/>
          <w:kern w:val="2"/>
          <w:sz w:val="24"/>
          <w:szCs w:val="24"/>
          <w:vertAlign w:val="subscript"/>
          <w14:ligatures w14:val="standardContextual"/>
        </w:rPr>
        <w:t>tap</w:t>
      </w:r>
      <w:proofErr w:type="spellEnd"/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9A66C7">
        <w:rPr>
          <w:rFonts w:eastAsia="Calibri"/>
          <w:kern w:val="2"/>
          <w:sz w:val="24"/>
          <w:szCs w:val="24"/>
          <w:vertAlign w:val="subscript"/>
          <w14:ligatures w14:val="standardContextual"/>
        </w:rPr>
        <w:t>metallics</w:t>
      </w:r>
      <w:proofErr w:type="spellEnd"/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 применяется в том случае, если значение </w:t>
      </w:r>
      <w:proofErr w:type="spellStart"/>
      <w:proofErr w:type="gramStart"/>
      <w:r w:rsidRPr="009A66C7">
        <w:rPr>
          <w:rFonts w:eastAsia="Calibri"/>
          <w:kern w:val="2"/>
          <w:sz w:val="24"/>
          <w:szCs w:val="24"/>
          <w14:ligatures w14:val="standardContextual"/>
        </w:rPr>
        <w:t>MTC</w:t>
      </w:r>
      <w:r w:rsidRPr="009A66C7">
        <w:rPr>
          <w:rFonts w:eastAsia="Calibri"/>
          <w:kern w:val="2"/>
          <w:sz w:val="24"/>
          <w:szCs w:val="24"/>
          <w:vertAlign w:val="subscript"/>
          <w14:ligatures w14:val="standardContextual"/>
        </w:rPr>
        <w:t>tap</w:t>
      </w:r>
      <w:r w:rsidRPr="009A66C7">
        <w:rPr>
          <w:rFonts w:eastAsia="Calibri"/>
          <w:kern w:val="2"/>
          <w:sz w:val="24"/>
          <w:szCs w:val="24"/>
          <w14:ligatures w14:val="standardContextual"/>
        </w:rPr>
        <w:t>,</w:t>
      </w:r>
      <w:r w:rsidRPr="009A66C7">
        <w:rPr>
          <w:rFonts w:eastAsia="Calibri"/>
          <w:kern w:val="2"/>
          <w:sz w:val="24"/>
          <w:szCs w:val="24"/>
          <w:vertAlign w:val="subscript"/>
          <w14:ligatures w14:val="standardContextual"/>
        </w:rPr>
        <w:t>metallics</w:t>
      </w:r>
      <w:proofErr w:type="spellEnd"/>
      <w:proofErr w:type="gramEnd"/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 указано в перечнях </w:t>
      </w:r>
      <w:proofErr w:type="spellStart"/>
      <w:r w:rsidRPr="009A66C7">
        <w:rPr>
          <w:rFonts w:eastAsia="Calibri"/>
          <w:kern w:val="2"/>
          <w:sz w:val="24"/>
          <w:szCs w:val="24"/>
          <w14:ligatures w14:val="standardContextual"/>
        </w:rPr>
        <w:t>MTC</w:t>
      </w:r>
      <w:r w:rsidRPr="009A66C7">
        <w:rPr>
          <w:rFonts w:eastAsia="Calibri"/>
          <w:kern w:val="2"/>
          <w:sz w:val="24"/>
          <w:szCs w:val="24"/>
          <w:vertAlign w:val="subscript"/>
          <w14:ligatures w14:val="standardContextual"/>
        </w:rPr>
        <w:t>tap</w:t>
      </w:r>
      <w:proofErr w:type="spellEnd"/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 для металлов для конкретных типов материалов, утвержденных в соответствии с подпунктом 2.2.1, если при расчете значения </w:t>
      </w:r>
      <w:proofErr w:type="spellStart"/>
      <w:r w:rsidRPr="009A66C7">
        <w:rPr>
          <w:rFonts w:eastAsia="Calibri"/>
          <w:kern w:val="2"/>
          <w:sz w:val="24"/>
          <w:szCs w:val="24"/>
          <w14:ligatures w14:val="standardContextual"/>
        </w:rPr>
        <w:t>C</w:t>
      </w:r>
      <w:r w:rsidRPr="009A66C7">
        <w:rPr>
          <w:rFonts w:eastAsia="Calibri"/>
          <w:kern w:val="2"/>
          <w:sz w:val="24"/>
          <w:szCs w:val="24"/>
          <w:vertAlign w:val="subscript"/>
          <w14:ligatures w14:val="standardContextual"/>
        </w:rPr>
        <w:t>tap</w:t>
      </w:r>
      <w:proofErr w:type="spellEnd"/>
      <w:r w:rsidRPr="009A66C7">
        <w:rPr>
          <w:rFonts w:eastAsia="Calibri"/>
          <w:kern w:val="2"/>
          <w:sz w:val="24"/>
          <w:szCs w:val="24"/>
          <w14:ligatures w14:val="standardContextual"/>
        </w:rPr>
        <w:t xml:space="preserve"> должным образом учитываются период застоя и объем пробы.</w:t>
      </w:r>
    </w:p>
    <w:p w14:paraId="0A95048F" w14:textId="77777777" w:rsidR="009A66C7" w:rsidRPr="009A66C7" w:rsidRDefault="009A66C7" w:rsidP="009A66C7">
      <w:pPr>
        <w:rPr>
          <w:sz w:val="24"/>
          <w:szCs w:val="24"/>
        </w:rPr>
      </w:pPr>
    </w:p>
    <w:p w14:paraId="11DC8C23" w14:textId="77777777" w:rsidR="009A66C7" w:rsidRPr="009A66C7" w:rsidRDefault="009A66C7" w:rsidP="009A66C7">
      <w:pPr>
        <w:rPr>
          <w:sz w:val="24"/>
          <w:szCs w:val="24"/>
        </w:rPr>
      </w:pPr>
      <w:r w:rsidRPr="009A66C7">
        <w:rPr>
          <w:sz w:val="24"/>
          <w:szCs w:val="24"/>
        </w:rPr>
        <w:br w:type="page"/>
      </w:r>
    </w:p>
    <w:p w14:paraId="46CC4851" w14:textId="77777777" w:rsidR="00F7571C" w:rsidRPr="009A66C7" w:rsidRDefault="00F7571C" w:rsidP="009A66C7">
      <w:pPr>
        <w:rPr>
          <w:sz w:val="24"/>
          <w:szCs w:val="24"/>
        </w:rPr>
      </w:pPr>
    </w:p>
    <w:sectPr w:rsidR="00F7571C" w:rsidRPr="009A66C7" w:rsidSect="009A66C7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7E8"/>
    <w:rsid w:val="009A66C7"/>
    <w:rsid w:val="00AD7C19"/>
    <w:rsid w:val="00E6197B"/>
    <w:rsid w:val="00F7571C"/>
    <w:rsid w:val="00FE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34B4"/>
  <w15:chartTrackingRefBased/>
  <w15:docId w15:val="{24122885-AACA-4DD9-9253-62084943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FE47E8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E47E8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E47E8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E47E8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E47E8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E47E8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E47E8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E47E8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E47E8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E47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E47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E47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E47E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E47E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E47E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E47E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E47E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E47E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E47E8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FE47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E47E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E47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E47E8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FE47E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E47E8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FE47E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E47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E47E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E47E8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9A66C7"/>
    <w:pPr>
      <w:spacing w:after="0" w:line="240" w:lineRule="auto"/>
      <w:ind w:firstLine="709"/>
      <w:jc w:val="both"/>
    </w:pPr>
    <w:rPr>
      <w:rFonts w:ascii="Times New Roman" w:hAnsi="Times New Roman"/>
      <w:b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2025-09-12T04:59:00Z</dcterms:created>
  <dcterms:modified xsi:type="dcterms:W3CDTF">2025-09-12T05:00:00Z</dcterms:modified>
</cp:coreProperties>
</file>