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D4854" w14:textId="77777777" w:rsidR="00F1121E" w:rsidRPr="00F1121E" w:rsidRDefault="00F1121E" w:rsidP="00F1121E">
      <w:pPr>
        <w:pStyle w:val="Frspaiere"/>
        <w:jc w:val="right"/>
        <w:rPr>
          <w:rFonts w:cs="Times New Roman"/>
          <w:b w:val="0"/>
          <w:bCs/>
          <w:sz w:val="20"/>
          <w:szCs w:val="20"/>
          <w:lang w:val="ru-RU"/>
        </w:rPr>
      </w:pPr>
      <w:bookmarkStart w:id="0" w:name="_Hlk182214463"/>
      <w:r w:rsidRPr="00F1121E">
        <w:rPr>
          <w:rFonts w:cs="Times New Roman"/>
          <w:b w:val="0"/>
          <w:bCs/>
          <w:sz w:val="20"/>
          <w:szCs w:val="20"/>
          <w:lang w:val="ru-RU"/>
        </w:rPr>
        <w:t>Приложение № 1</w:t>
      </w:r>
    </w:p>
    <w:p w14:paraId="605CAED5" w14:textId="77777777" w:rsidR="00F1121E" w:rsidRPr="00F1121E" w:rsidRDefault="00F1121E" w:rsidP="00F1121E">
      <w:pPr>
        <w:pStyle w:val="Frspaiere"/>
        <w:ind w:left="4254" w:firstLine="0"/>
        <w:jc w:val="right"/>
        <w:rPr>
          <w:rFonts w:cs="Times New Roman"/>
          <w:b w:val="0"/>
          <w:bCs/>
          <w:sz w:val="20"/>
          <w:szCs w:val="20"/>
          <w:lang w:val="ru-RU"/>
        </w:rPr>
      </w:pPr>
      <w:r w:rsidRPr="00F1121E">
        <w:rPr>
          <w:rFonts w:cs="Times New Roman"/>
          <w:b w:val="0"/>
          <w:bCs/>
          <w:sz w:val="20"/>
          <w:szCs w:val="20"/>
          <w:lang w:val="ru-RU"/>
        </w:rPr>
        <w:t xml:space="preserve">к Санитарному регламенту о материалах и веществах, вступающих в контакт </w:t>
      </w:r>
      <w:r w:rsidRPr="00F1121E">
        <w:rPr>
          <w:rFonts w:cs="Times New Roman"/>
          <w:b w:val="0"/>
          <w:bCs/>
          <w:sz w:val="20"/>
          <w:szCs w:val="20"/>
          <w:lang w:val="ru-RU"/>
        </w:rPr>
        <w:br/>
        <w:t>с питьевой водой, и методах испытаний</w:t>
      </w:r>
    </w:p>
    <w:p w14:paraId="5EAC0602" w14:textId="77777777" w:rsidR="00F1121E" w:rsidRPr="00F1121E" w:rsidRDefault="00F1121E" w:rsidP="00F1121E">
      <w:pPr>
        <w:pStyle w:val="Frspaiere"/>
        <w:rPr>
          <w:rFonts w:cs="Times New Roman"/>
          <w:b w:val="0"/>
          <w:sz w:val="20"/>
          <w:szCs w:val="20"/>
          <w:lang w:val="ru-RU"/>
        </w:rPr>
      </w:pPr>
    </w:p>
    <w:bookmarkEnd w:id="0"/>
    <w:p w14:paraId="31B8B419" w14:textId="6FC8253C" w:rsidR="00F1121E" w:rsidRPr="00F1121E" w:rsidRDefault="00F1121E" w:rsidP="00F1121E">
      <w:pPr>
        <w:pStyle w:val="Frspaiere"/>
        <w:ind w:firstLine="0"/>
        <w:jc w:val="center"/>
        <w:rPr>
          <w:rFonts w:cs="Times New Roman"/>
          <w:b w:val="0"/>
          <w:sz w:val="20"/>
          <w:szCs w:val="20"/>
        </w:rPr>
      </w:pPr>
      <w:r w:rsidRPr="00F1121E">
        <w:rPr>
          <w:rFonts w:cs="Times New Roman"/>
          <w:sz w:val="20"/>
          <w:szCs w:val="20"/>
          <w:lang w:val="ru-RU"/>
        </w:rPr>
        <w:t>КОНЕЧНЫЕ ОРГАНИЧЕСКИЕ МАТЕРИАЛЫ</w:t>
      </w:r>
    </w:p>
    <w:p w14:paraId="2C7FE771" w14:textId="77777777" w:rsidR="00F1121E" w:rsidRDefault="00F1121E" w:rsidP="00F1121E">
      <w:pPr>
        <w:pStyle w:val="Frspaiere"/>
        <w:ind w:firstLine="0"/>
        <w:jc w:val="center"/>
        <w:rPr>
          <w:rFonts w:cs="Times New Roman"/>
          <w:sz w:val="20"/>
          <w:szCs w:val="20"/>
        </w:rPr>
      </w:pPr>
      <w:r w:rsidRPr="00F1121E">
        <w:rPr>
          <w:rFonts w:cs="Times New Roman"/>
          <w:sz w:val="20"/>
          <w:szCs w:val="20"/>
          <w:lang w:val="ru-RU"/>
        </w:rPr>
        <w:t xml:space="preserve">Общая процедура испытания и приемки конечных органических </w:t>
      </w:r>
    </w:p>
    <w:p w14:paraId="1A49148E" w14:textId="41DEA3B5" w:rsidR="00F1121E" w:rsidRPr="00F1121E" w:rsidRDefault="00F1121E" w:rsidP="00F1121E">
      <w:pPr>
        <w:pStyle w:val="Frspaiere"/>
        <w:ind w:firstLine="0"/>
        <w:jc w:val="center"/>
        <w:rPr>
          <w:rFonts w:cs="Times New Roman"/>
          <w:sz w:val="20"/>
          <w:szCs w:val="20"/>
        </w:rPr>
      </w:pPr>
      <w:r w:rsidRPr="00F1121E">
        <w:rPr>
          <w:rFonts w:cs="Times New Roman"/>
          <w:sz w:val="20"/>
          <w:szCs w:val="20"/>
          <w:lang w:val="ru-RU"/>
        </w:rPr>
        <w:t>материалов, используемых в изделии</w:t>
      </w:r>
    </w:p>
    <w:p w14:paraId="00A64A61" w14:textId="77777777" w:rsidR="00F1121E" w:rsidRPr="00F1121E" w:rsidRDefault="00F1121E" w:rsidP="00F1121E">
      <w:pPr>
        <w:numPr>
          <w:ilvl w:val="0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Процедура испытания и приемки конечных органических материалов, используемых в изделии, включает следующие этапы:</w:t>
      </w:r>
    </w:p>
    <w:p w14:paraId="068026F6" w14:textId="77777777" w:rsidR="00F1121E" w:rsidRPr="00F1121E" w:rsidRDefault="00F1121E" w:rsidP="00F1121E">
      <w:pPr>
        <w:numPr>
          <w:ilvl w:val="1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этап 1 – Определение соответствующих веществ и других соответствующих параметров в зависимости от:</w:t>
      </w:r>
    </w:p>
    <w:p w14:paraId="7D6355ED" w14:textId="77777777" w:rsidR="00F1121E" w:rsidRPr="00F1121E" w:rsidRDefault="00F1121E" w:rsidP="00F1121E">
      <w:pPr>
        <w:numPr>
          <w:ilvl w:val="2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классификации изделий или компонентов по группам риска и соответствующие требования к испытаниям;</w:t>
      </w:r>
    </w:p>
    <w:p w14:paraId="66E45106" w14:textId="77777777" w:rsidR="00F1121E" w:rsidRPr="00F1121E" w:rsidRDefault="00F1121E" w:rsidP="00F1121E">
      <w:pPr>
        <w:numPr>
          <w:ilvl w:val="2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исследования рецептуры;</w:t>
      </w:r>
    </w:p>
    <w:p w14:paraId="600551BB" w14:textId="77777777" w:rsidR="00F1121E" w:rsidRPr="00F1121E" w:rsidRDefault="00F1121E" w:rsidP="00F1121E">
      <w:pPr>
        <w:numPr>
          <w:ilvl w:val="1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этап 2 – Проведение испытаний:</w:t>
      </w:r>
    </w:p>
    <w:p w14:paraId="471D6B1E" w14:textId="77777777" w:rsidR="00F1121E" w:rsidRPr="00F1121E" w:rsidRDefault="00F1121E" w:rsidP="00F1121E">
      <w:pPr>
        <w:numPr>
          <w:ilvl w:val="2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испытание на миграцию для:</w:t>
      </w:r>
    </w:p>
    <w:p w14:paraId="4EA34539" w14:textId="77777777" w:rsidR="00F1121E" w:rsidRPr="00F1121E" w:rsidRDefault="00F1121E" w:rsidP="00F1121E">
      <w:pPr>
        <w:numPr>
          <w:ilvl w:val="3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общего содержания органического углерода (ООУ);</w:t>
      </w:r>
    </w:p>
    <w:p w14:paraId="68A3880D" w14:textId="77777777" w:rsidR="00F1121E" w:rsidRPr="00F1121E" w:rsidRDefault="00F1121E" w:rsidP="00F1121E">
      <w:pPr>
        <w:numPr>
          <w:ilvl w:val="3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 xml:space="preserve">соответствующих веществ; </w:t>
      </w:r>
    </w:p>
    <w:p w14:paraId="64A74D96" w14:textId="77777777" w:rsidR="00F1121E" w:rsidRPr="00F1121E" w:rsidRDefault="00F1121E" w:rsidP="00F1121E">
      <w:pPr>
        <w:numPr>
          <w:ilvl w:val="3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неожиданных веществ;</w:t>
      </w:r>
    </w:p>
    <w:p w14:paraId="01585ECB" w14:textId="77777777" w:rsidR="00F1121E" w:rsidRPr="00F1121E" w:rsidRDefault="00F1121E" w:rsidP="00F1121E">
      <w:pPr>
        <w:numPr>
          <w:ilvl w:val="2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 xml:space="preserve">моделирование миграции соответствующих веществ; </w:t>
      </w:r>
    </w:p>
    <w:p w14:paraId="3639496B" w14:textId="77777777" w:rsidR="00F1121E" w:rsidRPr="00F1121E" w:rsidRDefault="00F1121E" w:rsidP="00F1121E">
      <w:pPr>
        <w:numPr>
          <w:ilvl w:val="2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испытание на миграцию для:</w:t>
      </w:r>
    </w:p>
    <w:p w14:paraId="4EC26623" w14:textId="77777777" w:rsidR="00F1121E" w:rsidRPr="00F1121E" w:rsidRDefault="00F1121E" w:rsidP="00F1121E">
      <w:pPr>
        <w:numPr>
          <w:ilvl w:val="3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 xml:space="preserve">запаха и вкуса; </w:t>
      </w:r>
    </w:p>
    <w:p w14:paraId="12D530F9" w14:textId="77777777" w:rsidR="00F1121E" w:rsidRPr="00F1121E" w:rsidRDefault="00F1121E" w:rsidP="00F1121E">
      <w:pPr>
        <w:numPr>
          <w:ilvl w:val="3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 xml:space="preserve">цвета и мутности; </w:t>
      </w:r>
    </w:p>
    <w:p w14:paraId="17C47549" w14:textId="77777777" w:rsidR="00F1121E" w:rsidRPr="00F1121E" w:rsidRDefault="00F1121E" w:rsidP="00F1121E">
      <w:pPr>
        <w:numPr>
          <w:ilvl w:val="2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 xml:space="preserve">испытание на стимулирование роста микроорганизмов (СРМ); </w:t>
      </w:r>
    </w:p>
    <w:p w14:paraId="66D4272B" w14:textId="77777777" w:rsidR="00F1121E" w:rsidRPr="00F1121E" w:rsidRDefault="00F1121E" w:rsidP="00F1121E">
      <w:pPr>
        <w:numPr>
          <w:ilvl w:val="2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испытание на остаточное содержание веществ;</w:t>
      </w:r>
    </w:p>
    <w:p w14:paraId="44F0DAEB" w14:textId="0115B63C" w:rsidR="00F1121E" w:rsidRPr="00F1121E" w:rsidRDefault="00F1121E" w:rsidP="00F1121E">
      <w:pPr>
        <w:numPr>
          <w:ilvl w:val="1"/>
          <w:numId w:val="21"/>
        </w:numPr>
        <w:ind w:left="0" w:firstLine="709"/>
        <w:rPr>
          <w:rFonts w:cstheme="majorBidi"/>
        </w:rPr>
      </w:pPr>
      <w:r w:rsidRPr="00F1121E">
        <w:rPr>
          <w:rFonts w:cstheme="majorBidi"/>
        </w:rPr>
        <w:t>этап 3 – Соблюдение критериев приемки/отклонения.</w:t>
      </w:r>
    </w:p>
    <w:p w14:paraId="36074153" w14:textId="38FCBA25" w:rsidR="00F1121E" w:rsidRPr="00F1121E" w:rsidRDefault="00F1121E" w:rsidP="00F1121E">
      <w:pPr>
        <w:ind w:firstLine="0"/>
        <w:jc w:val="center"/>
        <w:rPr>
          <w:rFonts w:cstheme="majorBidi"/>
          <w:b/>
          <w:lang w:val="en-US"/>
        </w:rPr>
      </w:pPr>
      <w:r w:rsidRPr="00F1121E">
        <w:rPr>
          <w:rFonts w:cstheme="majorBidi"/>
          <w:b/>
        </w:rPr>
        <w:t xml:space="preserve">Определение соответствующих веществ </w:t>
      </w:r>
      <w:r w:rsidRPr="00F1121E">
        <w:rPr>
          <w:rFonts w:cstheme="majorBidi"/>
          <w:b/>
        </w:rPr>
        <w:br/>
        <w:t>и других соответствующих параметров</w:t>
      </w:r>
    </w:p>
    <w:p w14:paraId="4F61E125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  <w:b/>
        </w:rPr>
        <w:t>2</w:t>
      </w:r>
      <w:r w:rsidRPr="00F1121E">
        <w:rPr>
          <w:rFonts w:cstheme="majorBidi"/>
        </w:rPr>
        <w:t>. Классификация изделий или компонентов по группам риска и соответствующие требования к испытаниям</w:t>
      </w:r>
    </w:p>
    <w:p w14:paraId="79073A08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2.1. Для каждого изделия или компонента сборного изделия определяется группа изделий и соответствующий коэффициент преобразования (КП) в соответствии с таблицей 5. На основании определенного КП изделие или компонент классифицируется по группе риска (ГР) в соответствии с таблицей 1.</w:t>
      </w:r>
    </w:p>
    <w:p w14:paraId="254A2CD5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2.2. Классификация в ГР определяет соответствующие испытательные требования, включая соответствующие вещества и другие соответствующие параметры. Процедура испытаний, применимая к конечным органическим материалам, вытекает из использования этих материалов в изделиях или компонентах сборных изделий.</w:t>
      </w:r>
    </w:p>
    <w:p w14:paraId="29A6BED2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2.3. Незначительные компоненты считаются компонентами, классифицированными в ГР3 или ГР4, к которым могут применяться сниженные требования к испытаниям, как показано в таблице 1, по сравнению с требованиями к испытаниям для ГР1 или ГР2.</w:t>
      </w:r>
    </w:p>
    <w:p w14:paraId="7CF35727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2.4. Для сборного изделия необходимо определить его компоненты. Для каждого компонента сборного изделия определяется группа изделий. Если сборное изделие состоит из компонентов, изготовленных из одного и того же основного полимера, площадь поверхности этих компонентов суммируется для определения группы изделий в соответствии с таблицей 5.</w:t>
      </w:r>
    </w:p>
    <w:p w14:paraId="1E635D58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2.5. Изделия или компоненты, изготовленные из многослойных материалов, считаются одним конечным материалом, состоящим из нескольких слоев. Испытания проводятся на конечных материалах, используемых в изделиях, контактирующих с питьевой водой.</w:t>
      </w:r>
    </w:p>
    <w:p w14:paraId="6500BB47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2.6. Спецификация в таблице 1 относительно испытания «для изделия или компонента» означает, что для проведения испытания используется изделие или отдельный компонент сборного изделия.</w:t>
      </w:r>
    </w:p>
    <w:p w14:paraId="681D897A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2.7. Спецификация в таблице 1 для испытания «пробный образец рецептуры» означает, что для испытания может быть взят репрезентативный образец конечного материала, используемого в изделии или компоненте. В этом случае испытание отдельного изделия или компонента не требуется.</w:t>
      </w:r>
    </w:p>
    <w:p w14:paraId="503002BB" w14:textId="77777777" w:rsidR="00F1121E" w:rsidRPr="00F1121E" w:rsidRDefault="00F1121E" w:rsidP="00F1121E">
      <w:pPr>
        <w:rPr>
          <w:rFonts w:cstheme="majorBidi"/>
        </w:rPr>
      </w:pPr>
    </w:p>
    <w:p w14:paraId="43035F22" w14:textId="77777777" w:rsidR="00F1121E" w:rsidRDefault="00F1121E" w:rsidP="00F1121E">
      <w:pPr>
        <w:widowControl w:val="0"/>
        <w:suppressAutoHyphens/>
        <w:ind w:right="57"/>
        <w:jc w:val="right"/>
        <w:rPr>
          <w:iCs/>
          <w:lang w:val="en-US"/>
        </w:rPr>
      </w:pPr>
    </w:p>
    <w:p w14:paraId="5CE5B1F9" w14:textId="527DE692" w:rsidR="00F1121E" w:rsidRPr="00F1121E" w:rsidRDefault="00F1121E" w:rsidP="00F1121E">
      <w:pPr>
        <w:widowControl w:val="0"/>
        <w:suppressAutoHyphens/>
        <w:ind w:right="57"/>
        <w:jc w:val="right"/>
        <w:rPr>
          <w:iCs/>
        </w:rPr>
      </w:pPr>
      <w:r w:rsidRPr="00F1121E">
        <w:rPr>
          <w:iCs/>
        </w:rPr>
        <w:lastRenderedPageBreak/>
        <w:t>Таблица 1</w:t>
      </w:r>
    </w:p>
    <w:p w14:paraId="72E988D4" w14:textId="77777777" w:rsidR="00F1121E" w:rsidRPr="00F1121E" w:rsidRDefault="00F1121E" w:rsidP="00F1121E">
      <w:pPr>
        <w:widowControl w:val="0"/>
        <w:suppressAutoHyphens/>
        <w:ind w:right="57" w:firstLine="0"/>
        <w:jc w:val="right"/>
        <w:rPr>
          <w:iCs/>
        </w:rPr>
      </w:pPr>
    </w:p>
    <w:p w14:paraId="04331206" w14:textId="77777777" w:rsidR="00F1121E" w:rsidRPr="00F1121E" w:rsidRDefault="00F1121E" w:rsidP="00F1121E">
      <w:pPr>
        <w:widowControl w:val="0"/>
        <w:suppressAutoHyphens/>
        <w:ind w:right="57" w:firstLine="0"/>
        <w:jc w:val="center"/>
        <w:rPr>
          <w:b/>
          <w:bCs/>
        </w:rPr>
      </w:pPr>
      <w:r w:rsidRPr="00F1121E">
        <w:rPr>
          <w:b/>
          <w:bCs/>
        </w:rPr>
        <w:t xml:space="preserve">Требования к испытаниям на основе риска для изделий </w:t>
      </w:r>
      <w:r w:rsidRPr="00F1121E">
        <w:rPr>
          <w:b/>
          <w:bCs/>
        </w:rPr>
        <w:br/>
        <w:t>или компонентов сборных изделий</w:t>
      </w:r>
    </w:p>
    <w:p w14:paraId="36471DF6" w14:textId="77777777" w:rsidR="00F1121E" w:rsidRPr="00F1121E" w:rsidRDefault="00F1121E" w:rsidP="00F1121E">
      <w:pPr>
        <w:rPr>
          <w:rFonts w:cstheme="majorBid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7"/>
        <w:gridCol w:w="826"/>
        <w:gridCol w:w="992"/>
        <w:gridCol w:w="1276"/>
        <w:gridCol w:w="1276"/>
        <w:gridCol w:w="1134"/>
        <w:gridCol w:w="1276"/>
        <w:gridCol w:w="1417"/>
      </w:tblGrid>
      <w:tr w:rsidR="00F1121E" w:rsidRPr="00F1121E" w14:paraId="0FA07E08" w14:textId="77777777" w:rsidTr="000E6E1F">
        <w:trPr>
          <w:trHeight w:hRule="exact" w:val="1395"/>
        </w:trPr>
        <w:tc>
          <w:tcPr>
            <w:tcW w:w="1017" w:type="dxa"/>
            <w:shd w:val="clear" w:color="auto" w:fill="FFFFFF"/>
          </w:tcPr>
          <w:p w14:paraId="61553F88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Группа риска</w:t>
            </w:r>
          </w:p>
        </w:tc>
        <w:tc>
          <w:tcPr>
            <w:tcW w:w="826" w:type="dxa"/>
            <w:shd w:val="clear" w:color="auto" w:fill="FFFFFF"/>
          </w:tcPr>
          <w:p w14:paraId="1E732418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Коэффициент преобразования</w:t>
            </w:r>
          </w:p>
          <w:p w14:paraId="423C5E79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 xml:space="preserve"> в д/дм</w:t>
            </w:r>
          </w:p>
        </w:tc>
        <w:tc>
          <w:tcPr>
            <w:tcW w:w="992" w:type="dxa"/>
            <w:shd w:val="clear" w:color="auto" w:fill="FFFFFF"/>
          </w:tcPr>
          <w:p w14:paraId="210112D0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Исследование рецептуры</w:t>
            </w:r>
          </w:p>
        </w:tc>
        <w:tc>
          <w:tcPr>
            <w:tcW w:w="1276" w:type="dxa"/>
            <w:shd w:val="clear" w:color="auto" w:fill="FFFFFF"/>
          </w:tcPr>
          <w:p w14:paraId="413B7AA6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Соответствующие вещества</w:t>
            </w:r>
          </w:p>
        </w:tc>
        <w:tc>
          <w:tcPr>
            <w:tcW w:w="1276" w:type="dxa"/>
            <w:shd w:val="clear" w:color="auto" w:fill="FFFFFF"/>
          </w:tcPr>
          <w:p w14:paraId="21DCF7EA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Обнаружение неожиданных веществ</w:t>
            </w:r>
          </w:p>
        </w:tc>
        <w:tc>
          <w:tcPr>
            <w:tcW w:w="1134" w:type="dxa"/>
            <w:shd w:val="clear" w:color="auto" w:fill="FFFFFF"/>
          </w:tcPr>
          <w:p w14:paraId="351F9C08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ООУ</w:t>
            </w:r>
          </w:p>
        </w:tc>
        <w:tc>
          <w:tcPr>
            <w:tcW w:w="1276" w:type="dxa"/>
            <w:shd w:val="clear" w:color="auto" w:fill="FFFFFF"/>
          </w:tcPr>
          <w:p w14:paraId="18B1B873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bookmarkStart w:id="1" w:name="bookmark1"/>
            <w:bookmarkStart w:id="2" w:name="bookmark2"/>
            <w:bookmarkEnd w:id="1"/>
            <w:bookmarkEnd w:id="2"/>
            <w:r w:rsidRPr="00F1121E">
              <w:rPr>
                <w:rFonts w:eastAsia="Calibri"/>
                <w:b/>
                <w:kern w:val="2"/>
                <w14:ligatures w14:val="standardContextual"/>
              </w:rPr>
              <w:t>TON</w:t>
            </w:r>
            <w:bookmarkStart w:id="3" w:name="_Hlk182207938"/>
            <w:r w:rsidRPr="00F1121E">
              <w:rPr>
                <w:rFonts w:eastAsia="Calibri"/>
                <w:b/>
                <w:kern w:val="2"/>
                <w14:ligatures w14:val="standardContextual"/>
              </w:rPr>
              <w:t>⁽¹⁾</w:t>
            </w:r>
            <w:bookmarkEnd w:id="3"/>
            <w:r w:rsidRPr="00F1121E">
              <w:rPr>
                <w:rFonts w:eastAsia="Calibri"/>
                <w:b/>
                <w:kern w:val="2"/>
                <w14:ligatures w14:val="standardContextual"/>
              </w:rPr>
              <w:t>,</w:t>
            </w:r>
          </w:p>
          <w:p w14:paraId="74FDC993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TFN⁽²⁾,</w:t>
            </w:r>
          </w:p>
          <w:p w14:paraId="472AF647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цвет, мутность</w:t>
            </w:r>
          </w:p>
        </w:tc>
        <w:tc>
          <w:tcPr>
            <w:tcW w:w="1417" w:type="dxa"/>
            <w:shd w:val="clear" w:color="auto" w:fill="FFFFFF"/>
          </w:tcPr>
          <w:p w14:paraId="5636CE98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СРМ</w:t>
            </w:r>
          </w:p>
        </w:tc>
      </w:tr>
      <w:tr w:rsidR="00F1121E" w:rsidRPr="00F1121E" w14:paraId="5CE7A736" w14:textId="77777777" w:rsidTr="000E6E1F">
        <w:trPr>
          <w:trHeight w:hRule="exact" w:val="1579"/>
        </w:trPr>
        <w:tc>
          <w:tcPr>
            <w:tcW w:w="1017" w:type="dxa"/>
          </w:tcPr>
          <w:p w14:paraId="1B0FA019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bCs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bCs/>
                <w:kern w:val="2"/>
                <w14:ligatures w14:val="standardContextual"/>
              </w:rPr>
              <w:t>ГР1</w:t>
            </w:r>
          </w:p>
        </w:tc>
        <w:tc>
          <w:tcPr>
            <w:tcW w:w="826" w:type="dxa"/>
          </w:tcPr>
          <w:p w14:paraId="417D927C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≥ 4</w:t>
            </w:r>
          </w:p>
        </w:tc>
        <w:tc>
          <w:tcPr>
            <w:tcW w:w="992" w:type="dxa"/>
          </w:tcPr>
          <w:p w14:paraId="096969C1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</w:t>
            </w:r>
          </w:p>
        </w:tc>
        <w:tc>
          <w:tcPr>
            <w:tcW w:w="1276" w:type="dxa"/>
          </w:tcPr>
          <w:p w14:paraId="2C0AC843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</w:t>
            </w:r>
          </w:p>
        </w:tc>
        <w:tc>
          <w:tcPr>
            <w:tcW w:w="1276" w:type="dxa"/>
          </w:tcPr>
          <w:p w14:paraId="34B18031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</w:t>
            </w:r>
          </w:p>
        </w:tc>
        <w:tc>
          <w:tcPr>
            <w:tcW w:w="1134" w:type="dxa"/>
          </w:tcPr>
          <w:p w14:paraId="188FA714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</w:t>
            </w:r>
          </w:p>
        </w:tc>
        <w:tc>
          <w:tcPr>
            <w:tcW w:w="1276" w:type="dxa"/>
          </w:tcPr>
          <w:p w14:paraId="5A09647C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</w:t>
            </w:r>
          </w:p>
        </w:tc>
        <w:tc>
          <w:tcPr>
            <w:tcW w:w="1417" w:type="dxa"/>
          </w:tcPr>
          <w:p w14:paraId="3560C80F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для труб с КП&gt; 10 д/дм или пробного образца рецептуры</w:t>
            </w:r>
          </w:p>
        </w:tc>
      </w:tr>
      <w:tr w:rsidR="00F1121E" w:rsidRPr="00F1121E" w14:paraId="4DD3CF92" w14:textId="77777777" w:rsidTr="000E6E1F">
        <w:trPr>
          <w:trHeight w:hRule="exact" w:val="1853"/>
        </w:trPr>
        <w:tc>
          <w:tcPr>
            <w:tcW w:w="1017" w:type="dxa"/>
          </w:tcPr>
          <w:p w14:paraId="3E06B28F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bCs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bCs/>
                <w:kern w:val="2"/>
                <w14:ligatures w14:val="standardContextual"/>
              </w:rPr>
              <w:t>ГР2</w:t>
            </w:r>
          </w:p>
        </w:tc>
        <w:tc>
          <w:tcPr>
            <w:tcW w:w="826" w:type="dxa"/>
          </w:tcPr>
          <w:p w14:paraId="21FD0007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≥ 0,4</w:t>
            </w:r>
          </w:p>
          <w:p w14:paraId="01F6CB7D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и &lt; 4</w:t>
            </w:r>
          </w:p>
        </w:tc>
        <w:tc>
          <w:tcPr>
            <w:tcW w:w="992" w:type="dxa"/>
          </w:tcPr>
          <w:p w14:paraId="73E91DB3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</w:t>
            </w:r>
          </w:p>
        </w:tc>
        <w:tc>
          <w:tcPr>
            <w:tcW w:w="1276" w:type="dxa"/>
          </w:tcPr>
          <w:p w14:paraId="51254B13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 или пробного образца рецептуры</w:t>
            </w:r>
          </w:p>
        </w:tc>
        <w:tc>
          <w:tcPr>
            <w:tcW w:w="1276" w:type="dxa"/>
          </w:tcPr>
          <w:p w14:paraId="1EBDE9CD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 или пробного образца рецептуры</w:t>
            </w:r>
          </w:p>
        </w:tc>
        <w:tc>
          <w:tcPr>
            <w:tcW w:w="1134" w:type="dxa"/>
          </w:tcPr>
          <w:p w14:paraId="76BF2567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</w:t>
            </w:r>
          </w:p>
        </w:tc>
        <w:tc>
          <w:tcPr>
            <w:tcW w:w="1276" w:type="dxa"/>
          </w:tcPr>
          <w:p w14:paraId="1E0AC8A5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</w:t>
            </w:r>
          </w:p>
        </w:tc>
        <w:tc>
          <w:tcPr>
            <w:tcW w:w="1417" w:type="dxa"/>
          </w:tcPr>
          <w:p w14:paraId="1EC02EE5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компонента или пробного образца рецептуры</w:t>
            </w:r>
          </w:p>
        </w:tc>
      </w:tr>
      <w:tr w:rsidR="00F1121E" w:rsidRPr="00F1121E" w14:paraId="5CA42E95" w14:textId="77777777" w:rsidTr="000E6E1F">
        <w:trPr>
          <w:trHeight w:hRule="exact" w:val="2255"/>
        </w:trPr>
        <w:tc>
          <w:tcPr>
            <w:tcW w:w="1017" w:type="dxa"/>
          </w:tcPr>
          <w:p w14:paraId="51CEFFB6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bCs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bCs/>
                <w:kern w:val="2"/>
                <w14:ligatures w14:val="standardContextual"/>
              </w:rPr>
              <w:t>ГР3</w:t>
            </w:r>
          </w:p>
        </w:tc>
        <w:tc>
          <w:tcPr>
            <w:tcW w:w="826" w:type="dxa"/>
          </w:tcPr>
          <w:p w14:paraId="0D34C3A2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≥ 0,04</w:t>
            </w:r>
          </w:p>
          <w:p w14:paraId="3C41E183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и</w:t>
            </w:r>
          </w:p>
          <w:p w14:paraId="46753941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&lt; 0,4</w:t>
            </w:r>
          </w:p>
        </w:tc>
        <w:tc>
          <w:tcPr>
            <w:tcW w:w="992" w:type="dxa"/>
          </w:tcPr>
          <w:p w14:paraId="1A224436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</w:t>
            </w:r>
          </w:p>
        </w:tc>
        <w:tc>
          <w:tcPr>
            <w:tcW w:w="1276" w:type="dxa"/>
          </w:tcPr>
          <w:p w14:paraId="2F9F9E0A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 или пробного образца рецептуры</w:t>
            </w:r>
          </w:p>
        </w:tc>
        <w:tc>
          <w:tcPr>
            <w:tcW w:w="1276" w:type="dxa"/>
          </w:tcPr>
          <w:p w14:paraId="197EB7FB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 или пробного образца рецептуры</w:t>
            </w:r>
          </w:p>
        </w:tc>
        <w:tc>
          <w:tcPr>
            <w:tcW w:w="1134" w:type="dxa"/>
          </w:tcPr>
          <w:p w14:paraId="2D64E390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 или пробного образца рецептуры</w:t>
            </w:r>
          </w:p>
        </w:tc>
        <w:tc>
          <w:tcPr>
            <w:tcW w:w="1276" w:type="dxa"/>
          </w:tcPr>
          <w:p w14:paraId="127ADAD1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 или пробного образца рецептуры</w:t>
            </w:r>
          </w:p>
        </w:tc>
        <w:tc>
          <w:tcPr>
            <w:tcW w:w="1417" w:type="dxa"/>
          </w:tcPr>
          <w:p w14:paraId="0E292CB1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компонента или пробного образца рецептуры</w:t>
            </w:r>
          </w:p>
        </w:tc>
      </w:tr>
      <w:tr w:rsidR="00F1121E" w:rsidRPr="00F1121E" w14:paraId="6B9B1F97" w14:textId="77777777" w:rsidTr="000E6E1F">
        <w:trPr>
          <w:trHeight w:hRule="exact" w:val="1974"/>
        </w:trPr>
        <w:tc>
          <w:tcPr>
            <w:tcW w:w="1017" w:type="dxa"/>
          </w:tcPr>
          <w:p w14:paraId="219BF162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bCs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bCs/>
                <w:kern w:val="2"/>
                <w14:ligatures w14:val="standardContextual"/>
              </w:rPr>
              <w:t>ГР4</w:t>
            </w:r>
          </w:p>
        </w:tc>
        <w:tc>
          <w:tcPr>
            <w:tcW w:w="826" w:type="dxa"/>
          </w:tcPr>
          <w:p w14:paraId="7687FB9D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&lt; 0, ­ 04</w:t>
            </w:r>
          </w:p>
        </w:tc>
        <w:tc>
          <w:tcPr>
            <w:tcW w:w="992" w:type="dxa"/>
          </w:tcPr>
          <w:p w14:paraId="59CCAD05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</w:t>
            </w:r>
          </w:p>
        </w:tc>
        <w:tc>
          <w:tcPr>
            <w:tcW w:w="1276" w:type="dxa"/>
          </w:tcPr>
          <w:p w14:paraId="1C1683BE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Нет</w:t>
            </w:r>
          </w:p>
        </w:tc>
        <w:tc>
          <w:tcPr>
            <w:tcW w:w="1276" w:type="dxa"/>
          </w:tcPr>
          <w:p w14:paraId="26C8CB38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 или пробного образца рецептуры</w:t>
            </w:r>
          </w:p>
        </w:tc>
        <w:tc>
          <w:tcPr>
            <w:tcW w:w="1134" w:type="dxa"/>
          </w:tcPr>
          <w:p w14:paraId="0028E9DB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 или пробного образца рецептуры</w:t>
            </w:r>
          </w:p>
        </w:tc>
        <w:tc>
          <w:tcPr>
            <w:tcW w:w="1276" w:type="dxa"/>
          </w:tcPr>
          <w:p w14:paraId="3CA0271D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изделия (сборного), компонента или пробного образца рецептуры</w:t>
            </w:r>
          </w:p>
        </w:tc>
        <w:tc>
          <w:tcPr>
            <w:tcW w:w="1417" w:type="dxa"/>
          </w:tcPr>
          <w:p w14:paraId="670951FC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Да, для компонента или пробного образца рецептуры</w:t>
            </w:r>
          </w:p>
        </w:tc>
      </w:tr>
    </w:tbl>
    <w:p w14:paraId="3917C50A" w14:textId="77777777" w:rsidR="00F1121E" w:rsidRPr="00F1121E" w:rsidRDefault="00F1121E" w:rsidP="00F1121E">
      <w:pPr>
        <w:rPr>
          <w:rFonts w:cstheme="majorBidi"/>
          <w:bCs/>
          <w:i/>
          <w:iCs/>
        </w:rPr>
      </w:pPr>
    </w:p>
    <w:p w14:paraId="5FEEDABC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 xml:space="preserve">⁽¹⁾ Пороговое значение для запаха. </w:t>
      </w:r>
    </w:p>
    <w:p w14:paraId="694A50C9" w14:textId="77777777" w:rsidR="00F1121E" w:rsidRPr="00F1121E" w:rsidRDefault="00F1121E" w:rsidP="00F1121E">
      <w:pPr>
        <w:rPr>
          <w:rFonts w:cstheme="majorBidi"/>
          <w:b/>
          <w:bCs/>
        </w:rPr>
      </w:pPr>
      <w:r w:rsidRPr="00F1121E">
        <w:rPr>
          <w:rFonts w:cstheme="majorBidi"/>
          <w:bCs/>
        </w:rPr>
        <w:t>⁽²⁾ Пороговое значение для аромата</w:t>
      </w:r>
      <w:r w:rsidRPr="00F1121E">
        <w:rPr>
          <w:rFonts w:cstheme="majorBidi"/>
        </w:rPr>
        <w:t>.</w:t>
      </w:r>
    </w:p>
    <w:p w14:paraId="630A1DD6" w14:textId="77777777" w:rsidR="00F1121E" w:rsidRPr="00F1121E" w:rsidRDefault="00F1121E" w:rsidP="00F1121E">
      <w:pPr>
        <w:rPr>
          <w:rFonts w:cstheme="majorBidi"/>
          <w:b/>
          <w:bCs/>
        </w:rPr>
      </w:pPr>
    </w:p>
    <w:p w14:paraId="16278D63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/>
          <w:bCs/>
        </w:rPr>
        <w:t>3</w:t>
      </w:r>
      <w:r w:rsidRPr="00F1121E">
        <w:rPr>
          <w:rFonts w:cstheme="majorBidi"/>
          <w:bCs/>
        </w:rPr>
        <w:t>. Исследование рецептуры</w:t>
      </w:r>
    </w:p>
    <w:p w14:paraId="551700AC" w14:textId="73656AFF" w:rsidR="00F1121E" w:rsidRPr="00F1121E" w:rsidRDefault="00F1121E" w:rsidP="00F1121E">
      <w:pPr>
        <w:rPr>
          <w:rFonts w:cstheme="majorBidi"/>
          <w:bCs/>
          <w:lang w:val="en-US"/>
        </w:rPr>
      </w:pPr>
      <w:r w:rsidRPr="00F1121E">
        <w:rPr>
          <w:rFonts w:cstheme="majorBidi"/>
          <w:bCs/>
        </w:rPr>
        <w:t>Необходимо изучать рецептуру в соответствии с требованиями, приведенными в таблице 1.</w:t>
      </w:r>
    </w:p>
    <w:p w14:paraId="6E819DA0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3.1. </w:t>
      </w:r>
      <w:r w:rsidRPr="00F1121E">
        <w:rPr>
          <w:rFonts w:cstheme="majorBidi"/>
          <w:bCs/>
          <w:i/>
        </w:rPr>
        <w:t>Необходимая информация</w:t>
      </w:r>
    </w:p>
    <w:p w14:paraId="7D88E67A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3.1.1. Для исследования рецептуры конечного органического материала необходима следующая информация:</w:t>
      </w:r>
    </w:p>
    <w:p w14:paraId="07FED122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 xml:space="preserve">3.1.1.1. перечень всех исходных веществ (включая их примеси и другие спецификации), используемых для производства конечного органического материала, включая все мономеры, добавки, </w:t>
      </w:r>
      <w:r w:rsidRPr="00F1121E">
        <w:rPr>
          <w:rFonts w:cstheme="majorBidi"/>
          <w:bCs/>
        </w:rPr>
        <w:lastRenderedPageBreak/>
        <w:t>полимеризационные вспомогательные вещества, вспомогательные вещества для производства полимеров, пигменты, красители и наполнители;</w:t>
      </w:r>
    </w:p>
    <w:p w14:paraId="55A9ADBD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3.1.1.2. соответствующий массовый процент (м/м %) всех исходных веществ и веществ, используемых для производства конечного материала, в сумме составляющий 100 %;</w:t>
      </w:r>
    </w:p>
    <w:p w14:paraId="697B01D3" w14:textId="77777777" w:rsidR="00F1121E" w:rsidRPr="00F1121E" w:rsidRDefault="00F1121E" w:rsidP="00F1121E">
      <w:pPr>
        <w:rPr>
          <w:rFonts w:cstheme="majorBidi"/>
          <w:bCs/>
          <w:iCs/>
        </w:rPr>
      </w:pPr>
      <w:r w:rsidRPr="00F1121E">
        <w:rPr>
          <w:rFonts w:cstheme="majorBidi"/>
          <w:bCs/>
        </w:rPr>
        <w:t>3.1.1.3. любая другая информация, считающаяся актуальной для оценки рецептуры конечного органического материала;</w:t>
      </w:r>
    </w:p>
    <w:p w14:paraId="2F01F783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 xml:space="preserve">3.1.2. предельное значение, при котором не требуется подробная информация о рецептуре (то есть химическом составе исходных веществ или примесей), выраженное в процентах по массе в рецептуре, составляет: </w:t>
      </w:r>
    </w:p>
    <w:p w14:paraId="798119BA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3.1.2.1. для одного вещества:</w:t>
      </w:r>
      <w:r w:rsidRPr="00F1121E">
        <w:rPr>
          <w:rFonts w:cstheme="majorBidi"/>
          <w:bCs/>
        </w:rPr>
        <w:tab/>
        <w:t>0,02 % для материалов из ГР1, 0,05 % для материалов из ГР2 и 0,1 % для материалов из ГР3;</w:t>
      </w:r>
    </w:p>
    <w:p w14:paraId="68C4FD2A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3.1.2.2. для суммы всех этих веществ: 0,1 % для ГР1, 0,2 % для ГР2 и 0,5 % для ГР3.</w:t>
      </w:r>
    </w:p>
    <w:p w14:paraId="3DBA1DF6" w14:textId="14C6BC10" w:rsidR="00F1121E" w:rsidRPr="00F1121E" w:rsidRDefault="00F1121E" w:rsidP="00F1121E">
      <w:pPr>
        <w:rPr>
          <w:rFonts w:cstheme="majorBidi"/>
          <w:bCs/>
          <w:lang w:val="en-US"/>
        </w:rPr>
      </w:pPr>
      <w:r w:rsidRPr="00F1121E">
        <w:rPr>
          <w:rFonts w:cstheme="majorBidi"/>
          <w:bCs/>
        </w:rPr>
        <w:t>3.1.3. В случае многослойных изделий с полной барьерной пропиткой учитываются только слои между барьером и поверхностью, контактирующей с питьевой водой. Рецептура указывается для каждого учитываемого слоя.</w:t>
      </w:r>
    </w:p>
    <w:p w14:paraId="281C3412" w14:textId="77777777" w:rsidR="00F1121E" w:rsidRPr="00F1121E" w:rsidRDefault="00F1121E" w:rsidP="00F1121E">
      <w:pPr>
        <w:rPr>
          <w:rFonts w:cstheme="majorBidi"/>
          <w:bCs/>
          <w:i/>
        </w:rPr>
      </w:pPr>
      <w:r w:rsidRPr="00F1121E">
        <w:rPr>
          <w:rFonts w:cstheme="majorBidi"/>
          <w:bCs/>
        </w:rPr>
        <w:t>3.2. </w:t>
      </w:r>
      <w:r w:rsidRPr="00F1121E">
        <w:rPr>
          <w:rFonts w:cstheme="majorBidi"/>
          <w:bCs/>
          <w:i/>
        </w:rPr>
        <w:t>Соответствующие вещества</w:t>
      </w:r>
    </w:p>
    <w:p w14:paraId="5D0657E0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Рецептура оценивается и сравнивается с исходными веществами, включенными в перечень исходных веществ для органических материалов, утвержденный в соответствии с пунктом 6 Регламента. Одной из целей оценки является определение соответствующих веществ, которые анализируются в мигрирующей воде.</w:t>
      </w:r>
    </w:p>
    <w:p w14:paraId="57661533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 xml:space="preserve">3.2.1. Соответствующими веществами являются: </w:t>
      </w:r>
    </w:p>
    <w:p w14:paraId="024823CB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3.2.1.1. исходные вещества, используемые в рецептуре, перечисленные в перечне исходных веществ для органических материалов, утвержденном в соответствии с пунктом 7 Регламента, к которым применяется значение MTC</w:t>
      </w:r>
      <w:r w:rsidRPr="00F1121E">
        <w:rPr>
          <w:rFonts w:cstheme="majorBidi"/>
          <w:bCs/>
          <w:vertAlign w:val="subscript"/>
        </w:rPr>
        <w:t>tap</w:t>
      </w:r>
      <w:r w:rsidRPr="00F1121E">
        <w:rPr>
          <w:rFonts w:cstheme="majorBidi"/>
          <w:bCs/>
        </w:rPr>
        <w:t>;</w:t>
      </w:r>
    </w:p>
    <w:p w14:paraId="2491C331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3.2.1.2. вещества, такие как примеси, продукты разложения или реакции, указанные в условиях использования перечней исходных веществ, составов или составляющих для каждой группы материалов, а именно органических, цементных, металлических, эмалевых и керамических или других неорганических материалов, утвержденных в соответствии с пунктом 6 Регламента, которые используются в рецептурах;</w:t>
      </w:r>
    </w:p>
    <w:p w14:paraId="06F9FB3C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3.2.1.3. все вещества, для которых предусмотрены MTC(T)</w:t>
      </w:r>
      <w:r w:rsidRPr="00F1121E">
        <w:rPr>
          <w:rFonts w:cstheme="majorBidi"/>
          <w:bCs/>
          <w:vertAlign w:val="subscript"/>
        </w:rPr>
        <w:t>tap, organic</w:t>
      </w:r>
      <w:r w:rsidRPr="00F1121E">
        <w:rPr>
          <w:rFonts w:cstheme="majorBidi"/>
          <w:bCs/>
          <w:vertAlign w:val="subscript"/>
          <w:lang w:val="ro-RO"/>
        </w:rPr>
        <w:t>e</w:t>
      </w:r>
      <w:r w:rsidRPr="00F1121E">
        <w:rPr>
          <w:rFonts w:cstheme="majorBidi"/>
          <w:bCs/>
        </w:rPr>
        <w:t xml:space="preserve"> для продуктов разложения стабилизаторов со структурными группами алкилфенола, которые одобрены в соответствии с пунктом 6 Регламета, содержащих исходные вещества для органических материалов, если используются стабилизаторы со структурными группами алкилфенола;</w:t>
      </w:r>
    </w:p>
    <w:p w14:paraId="3F27DB67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 xml:space="preserve">3.2.1.4. исходные вещества, используемые в рецептурах, а также примеси и продукты их разложения и реакции, которые не включены в перечень исходных веществ для органических материалов, утвержденный в соответствии с пунктом 6 Регламента, но которые допускаются на основании подпункта 3.3.1.2; </w:t>
      </w:r>
    </w:p>
    <w:p w14:paraId="7718D781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3.2.1.5. алюминий, аммоний, барий, кобальт, медь, европий, гадолиний, железо, лантан, литий, марганец, тербий и/или цинк, если используются соответствующие соли кислот, фенолов или спиртов, разрешенных в соответствии со всеми спецификациями и примечаниями из перечня исходных веществ для органических материалов, утвержденного в соответствии с пунктом 6 Регламента.</w:t>
      </w:r>
    </w:p>
    <w:p w14:paraId="0F106EF2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3.2.1.6. исходные вещества полимерных веществ, разрешенные в соответствии со всеми спецификациями и примечаниями из перечня исходных веществ для органических материалов, утвержденного в соответствии с пунктом 6 Регламента, к которым применяется значение MTC</w:t>
      </w:r>
      <w:r w:rsidRPr="00F1121E">
        <w:rPr>
          <w:rFonts w:cstheme="majorBidi"/>
          <w:bCs/>
          <w:vertAlign w:val="subscript"/>
        </w:rPr>
        <w:t>tap</w:t>
      </w:r>
      <w:r w:rsidRPr="00F1121E">
        <w:rPr>
          <w:rFonts w:cstheme="majorBidi"/>
          <w:bCs/>
        </w:rPr>
        <w:t xml:space="preserve">; </w:t>
      </w:r>
    </w:p>
    <w:p w14:paraId="047CEFCB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3.2.1.7. исходные вещества преполимеров и полимеров природного или синтетического происхождения, разрешенные в соответствии со всеми спецификациями и примечаниями из перечня исходных веществ для органических материалов, утвержденного в соответствии с пунктом 6 Регламента, к которым применяется значение MTC</w:t>
      </w:r>
      <w:r w:rsidRPr="00F1121E">
        <w:rPr>
          <w:rFonts w:cstheme="majorBidi"/>
          <w:bCs/>
          <w:vertAlign w:val="subscript"/>
        </w:rPr>
        <w:t>tap</w:t>
      </w:r>
      <w:r w:rsidRPr="00F1121E">
        <w:rPr>
          <w:rFonts w:cstheme="majorBidi"/>
          <w:bCs/>
        </w:rPr>
        <w:t xml:space="preserve">; </w:t>
      </w:r>
    </w:p>
    <w:p w14:paraId="4807E2DD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3.2.1.8. сурьма, мышьяк, барий, кадмий, хром, свинец, ртуть, селен, если в рецептуре используются пигменты или красители, не соответствующие требованиям чистоты, предусмотренным в пункте 14, или если тестирование чистоты не было проведено;</w:t>
      </w:r>
    </w:p>
    <w:p w14:paraId="719700E3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3.2.1.9. первичные ароматические амины (ПАА), если в рецептуре используются органические пигменты или красители, не соответствующие требованиям чистоты, предусмотренным в пункте 14, или если испытание на чистоту не проводилось;</w:t>
      </w:r>
    </w:p>
    <w:p w14:paraId="490A050B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3.2.1.10. сурьма, мышьяк, барий, кадмий, хром, свинец, ртуть, селен, если в рецептуре используются наполнители, не соответствующие требованиям чистоты, предусмотренным в пункте 14, или если тестирование на чистоту не проводилось;</w:t>
      </w:r>
    </w:p>
    <w:p w14:paraId="20704526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3.2.1.11. если применяются дополнительные критерии, специфичные для материалов (см. пункт 3.4): все вещества или группы веществ, для которых установлено значение MTC</w:t>
      </w:r>
      <w:r w:rsidRPr="00F1121E">
        <w:rPr>
          <w:rFonts w:cstheme="majorBidi"/>
          <w:bCs/>
          <w:vertAlign w:val="subscript"/>
        </w:rPr>
        <w:t>tap</w:t>
      </w:r>
      <w:r w:rsidRPr="00F1121E">
        <w:rPr>
          <w:rFonts w:cstheme="majorBidi"/>
          <w:bCs/>
        </w:rPr>
        <w:t>;</w:t>
      </w:r>
    </w:p>
    <w:p w14:paraId="0E198798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lastRenderedPageBreak/>
        <w:t>3.2.1.12. в случае испытания на миграцию с использованием хлорированной испытательной воды: галоацетические кислоты (ГАК) и тригалометаны – общее количество, как определено в Законе № 182/2019 о качестве питьевой воды.</w:t>
      </w:r>
    </w:p>
    <w:p w14:paraId="5D672026" w14:textId="27297C5E" w:rsidR="00F1121E" w:rsidRPr="00F1121E" w:rsidRDefault="00F1121E" w:rsidP="00F1121E">
      <w:pPr>
        <w:rPr>
          <w:rFonts w:cstheme="majorBidi"/>
          <w:bCs/>
          <w:lang w:val="en-US"/>
        </w:rPr>
      </w:pPr>
      <w:r w:rsidRPr="00F1121E">
        <w:rPr>
          <w:rFonts w:cstheme="majorBidi"/>
          <w:bCs/>
        </w:rPr>
        <w:t>3.2.2. Для многослойных материалов соответствующие вещества определяются для каждого слоя, находящегося между полной барьерной мембраной и питьевой водой, по отдельности.</w:t>
      </w:r>
    </w:p>
    <w:p w14:paraId="584929D8" w14:textId="77777777" w:rsidR="00F1121E" w:rsidRPr="00F1121E" w:rsidRDefault="00F1121E" w:rsidP="00F1121E">
      <w:pPr>
        <w:rPr>
          <w:rFonts w:cstheme="majorBidi"/>
          <w:bCs/>
          <w:i/>
          <w:iCs/>
        </w:rPr>
      </w:pPr>
      <w:r w:rsidRPr="00F1121E">
        <w:rPr>
          <w:rFonts w:cstheme="majorBidi"/>
          <w:bCs/>
          <w:iCs/>
        </w:rPr>
        <w:t>3.3. </w:t>
      </w:r>
      <w:r w:rsidRPr="00F1121E">
        <w:rPr>
          <w:rFonts w:cstheme="majorBidi"/>
          <w:bCs/>
          <w:i/>
          <w:iCs/>
        </w:rPr>
        <w:t>Приемлемость исходных веществ</w:t>
      </w:r>
    </w:p>
    <w:p w14:paraId="09D72DB8" w14:textId="77777777" w:rsidR="00F1121E" w:rsidRPr="00F1121E" w:rsidRDefault="00F1121E" w:rsidP="00F1121E">
      <w:pPr>
        <w:rPr>
          <w:rFonts w:cstheme="majorBidi"/>
          <w:bCs/>
          <w:iCs/>
        </w:rPr>
      </w:pPr>
      <w:r w:rsidRPr="00F1121E">
        <w:rPr>
          <w:rFonts w:cstheme="majorBidi"/>
          <w:bCs/>
          <w:iCs/>
        </w:rPr>
        <w:t xml:space="preserve">3.3.1. Органические материалы состоят только из: </w:t>
      </w:r>
    </w:p>
    <w:p w14:paraId="1F01B50D" w14:textId="77777777" w:rsidR="00F1121E" w:rsidRPr="00F1121E" w:rsidRDefault="00F1121E" w:rsidP="00F1121E">
      <w:pPr>
        <w:rPr>
          <w:rFonts w:cstheme="majorBidi"/>
          <w:bCs/>
          <w:iCs/>
        </w:rPr>
      </w:pPr>
      <w:r w:rsidRPr="00F1121E">
        <w:rPr>
          <w:rFonts w:cstheme="majorBidi"/>
          <w:bCs/>
          <w:iCs/>
        </w:rPr>
        <w:t>3.3.1.1. исходных веществ, перечисленных в перечне исходных веществ для органических материалов, утвержденном в соответствии с пунктом 6 Регламента;</w:t>
      </w:r>
    </w:p>
    <w:p w14:paraId="1F8B78F5" w14:textId="77777777" w:rsidR="00F1121E" w:rsidRPr="00F1121E" w:rsidRDefault="00F1121E" w:rsidP="00F1121E">
      <w:pPr>
        <w:rPr>
          <w:rFonts w:cstheme="majorBidi"/>
          <w:bCs/>
          <w:iCs/>
        </w:rPr>
      </w:pPr>
      <w:r w:rsidRPr="00F1121E">
        <w:rPr>
          <w:rFonts w:cstheme="majorBidi"/>
          <w:bCs/>
          <w:iCs/>
        </w:rPr>
        <w:t>3.3.1.2. исходных веществ, для которых не происходит миграция вещества, его примесей и/или продуктов его реакции и разложения в питьевую воду в количествах, превышающих 0,1 мкг/л на кране потребителя. Это применяется только к веществам, которые не относятся ни к одной из следующих категорий:</w:t>
      </w:r>
    </w:p>
    <w:p w14:paraId="44AC228D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  <w:iCs/>
        </w:rPr>
        <w:t xml:space="preserve">3.3.1.2.1. вещества, классифицированные как канцерогенные, мутагенные, токсичные для репродуктивной системы категории 1A или 1B, эндокринные разрушители (ЭР), влияющие на здоровье человека категории 1, стойкие, биоаккумулирующиеся и токсичные (СБТ) вещества или очень стойкие и очень биоаккумулирующиеся (вСвБ) вещества, в соответствии с Законом № 277/2018 о химических веществах, со свойствами ЭР, СБТ или вСвБ; </w:t>
      </w:r>
    </w:p>
    <w:p w14:paraId="1AB64302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3.3.1.2.2. вещества, намеренно добавленные в наноформе;</w:t>
      </w:r>
    </w:p>
    <w:p w14:paraId="5D3557A7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 xml:space="preserve">3.3.1.2.3. мономеры основных полимеров материала. </w:t>
      </w:r>
    </w:p>
    <w:p w14:paraId="627076C9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 xml:space="preserve">3.3.2. Для принятия исходных веществ учитываются спецификации и примечания из перечня исходных веществ для органических материалов, утвержденного в соответствии с пунктом 6 </w:t>
      </w:r>
      <w:r w:rsidRPr="00F1121E">
        <w:rPr>
          <w:rFonts w:cstheme="majorBidi"/>
          <w:bCs/>
          <w:iCs/>
        </w:rPr>
        <w:t>Регламента, об</w:t>
      </w:r>
      <w:r w:rsidRPr="00F1121E">
        <w:rPr>
          <w:rFonts w:cstheme="majorBidi"/>
          <w:bCs/>
        </w:rPr>
        <w:t xml:space="preserve"> установлении перечней исходных веществ, составов или составляющих для каждой группы материалов, а именно органических. </w:t>
      </w:r>
    </w:p>
    <w:p w14:paraId="0F89E40D" w14:textId="77777777" w:rsidR="00F1121E" w:rsidRPr="00F1121E" w:rsidRDefault="00F1121E" w:rsidP="00F1121E">
      <w:pPr>
        <w:rPr>
          <w:rFonts w:cstheme="majorBidi"/>
          <w:bCs/>
        </w:rPr>
      </w:pPr>
    </w:p>
    <w:p w14:paraId="37FE70D5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3.4. </w:t>
      </w:r>
      <w:r w:rsidRPr="00F1121E">
        <w:rPr>
          <w:rFonts w:cstheme="majorBidi"/>
          <w:bCs/>
          <w:i/>
        </w:rPr>
        <w:t>Требования, специфичные для материалов</w:t>
      </w:r>
    </w:p>
    <w:p w14:paraId="373B785E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 xml:space="preserve">3.4.1. Для полиамидных или полиуретановых смоляных покрытий применяются требования в отношении выделения первичных ароматических аминов (ПАА), как указано в таблице 2. </w:t>
      </w:r>
    </w:p>
    <w:p w14:paraId="7F857195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3.4.2. Требования в отношении резин перечислены в таблице 3.</w:t>
      </w:r>
    </w:p>
    <w:p w14:paraId="3D634D40" w14:textId="77777777" w:rsidR="00F1121E" w:rsidRPr="00F1121E" w:rsidRDefault="00F1121E" w:rsidP="00F1121E">
      <w:pPr>
        <w:rPr>
          <w:rFonts w:cstheme="majorBidi"/>
          <w:bCs/>
        </w:rPr>
      </w:pPr>
      <w:r w:rsidRPr="00F1121E">
        <w:rPr>
          <w:rFonts w:cstheme="majorBidi"/>
          <w:bCs/>
        </w:rPr>
        <w:t>3.4.3. Требования к органическим материалам, кроме резины, изготовленным из исходных веществ с N-функциональными группами, такими как аминовые, амидные или четвертичные, при испытании хлорированной испытательной водой, перечислены в таблице 4.</w:t>
      </w:r>
    </w:p>
    <w:p w14:paraId="25976E49" w14:textId="77777777" w:rsidR="00F1121E" w:rsidRPr="00F1121E" w:rsidRDefault="00F1121E" w:rsidP="00F1121E">
      <w:pPr>
        <w:rPr>
          <w:rFonts w:cstheme="majorBidi"/>
          <w:bCs/>
        </w:rPr>
      </w:pPr>
    </w:p>
    <w:p w14:paraId="3D6EBEC9" w14:textId="77777777" w:rsidR="00F1121E" w:rsidRPr="00F1121E" w:rsidRDefault="00F1121E" w:rsidP="00F1121E">
      <w:pPr>
        <w:widowControl w:val="0"/>
        <w:suppressAutoHyphens/>
        <w:ind w:right="57"/>
        <w:contextualSpacing/>
        <w:jc w:val="right"/>
        <w:rPr>
          <w:iCs/>
        </w:rPr>
      </w:pPr>
      <w:r w:rsidRPr="00F1121E">
        <w:rPr>
          <w:iCs/>
        </w:rPr>
        <w:t>Таблица 2</w:t>
      </w:r>
    </w:p>
    <w:p w14:paraId="5C99FDCF" w14:textId="77777777" w:rsidR="00F1121E" w:rsidRPr="00F1121E" w:rsidRDefault="00F1121E" w:rsidP="00F1121E">
      <w:pPr>
        <w:widowControl w:val="0"/>
        <w:suppressAutoHyphens/>
        <w:ind w:right="57" w:firstLine="0"/>
        <w:contextualSpacing/>
        <w:jc w:val="right"/>
        <w:rPr>
          <w:iCs/>
        </w:rPr>
      </w:pPr>
    </w:p>
    <w:p w14:paraId="1AAAD168" w14:textId="77777777" w:rsidR="00F1121E" w:rsidRPr="00F1121E" w:rsidRDefault="00F1121E" w:rsidP="00F1121E">
      <w:pPr>
        <w:widowControl w:val="0"/>
        <w:suppressAutoHyphens/>
        <w:ind w:right="57" w:firstLine="0"/>
        <w:contextualSpacing/>
        <w:jc w:val="center"/>
        <w:rPr>
          <w:b/>
          <w:bCs/>
        </w:rPr>
      </w:pPr>
      <w:r w:rsidRPr="00F1121E">
        <w:rPr>
          <w:b/>
          <w:bCs/>
        </w:rPr>
        <w:t>Требования к полиамидным или полиуретановым смоляным покрытиям</w:t>
      </w:r>
    </w:p>
    <w:p w14:paraId="26304924" w14:textId="77777777" w:rsidR="00F1121E" w:rsidRPr="00F1121E" w:rsidRDefault="00F1121E" w:rsidP="00F1121E">
      <w:pPr>
        <w:widowControl w:val="0"/>
        <w:suppressAutoHyphens/>
        <w:ind w:right="57"/>
        <w:contextualSpacing/>
        <w:jc w:val="center"/>
        <w:rPr>
          <w:b/>
          <w:bCs/>
        </w:rPr>
      </w:pPr>
    </w:p>
    <w:tbl>
      <w:tblPr>
        <w:tblW w:w="95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731"/>
      </w:tblGrid>
      <w:tr w:rsidR="00F1121E" w:rsidRPr="00F1121E" w14:paraId="4F06CDFC" w14:textId="77777777" w:rsidTr="000E6E1F">
        <w:trPr>
          <w:trHeight w:hRule="exact" w:val="352"/>
        </w:trPr>
        <w:tc>
          <w:tcPr>
            <w:tcW w:w="4820" w:type="dxa"/>
            <w:shd w:val="clear" w:color="auto" w:fill="FFFFFF"/>
          </w:tcPr>
          <w:p w14:paraId="2572B30F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bCs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Параметр</w:t>
            </w:r>
          </w:p>
        </w:tc>
        <w:tc>
          <w:tcPr>
            <w:tcW w:w="4731" w:type="dxa"/>
            <w:shd w:val="clear" w:color="auto" w:fill="FFFFFF"/>
          </w:tcPr>
          <w:p w14:paraId="3C4C1D24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bCs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bCs/>
                <w:kern w:val="2"/>
                <w14:ligatures w14:val="standardContextual"/>
              </w:rPr>
              <w:t>Ограничение</w:t>
            </w:r>
          </w:p>
        </w:tc>
      </w:tr>
      <w:tr w:rsidR="00F1121E" w:rsidRPr="00F1121E" w14:paraId="03551B9E" w14:textId="77777777" w:rsidTr="000E6E1F">
        <w:trPr>
          <w:trHeight w:hRule="exact" w:val="368"/>
        </w:trPr>
        <w:tc>
          <w:tcPr>
            <w:tcW w:w="4820" w:type="dxa"/>
            <w:shd w:val="clear" w:color="auto" w:fill="FFFFFF"/>
          </w:tcPr>
          <w:p w14:paraId="53192991" w14:textId="77777777" w:rsidR="00F1121E" w:rsidRPr="00F1121E" w:rsidRDefault="00F1121E" w:rsidP="000E6E1F">
            <w:pPr>
              <w:ind w:firstLine="0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>Сумма первичных ароматических аминов (ПАА)</w:t>
            </w:r>
          </w:p>
        </w:tc>
        <w:tc>
          <w:tcPr>
            <w:tcW w:w="4731" w:type="dxa"/>
            <w:shd w:val="clear" w:color="auto" w:fill="FFFFFF"/>
          </w:tcPr>
          <w:p w14:paraId="075C8488" w14:textId="77777777" w:rsidR="00F1121E" w:rsidRPr="00F1121E" w:rsidRDefault="00F1121E" w:rsidP="000E6E1F">
            <w:pPr>
              <w:ind w:firstLine="0"/>
              <w:rPr>
                <w:rFonts w:eastAsia="Calibri"/>
                <w:kern w:val="2"/>
                <w14:ligatures w14:val="standardContextual"/>
              </w:rPr>
            </w:pPr>
            <w:bookmarkStart w:id="4" w:name="bookmark6"/>
            <w:bookmarkEnd w:id="4"/>
            <w:r w:rsidRPr="00F1121E">
              <w:rPr>
                <w:rFonts w:eastAsia="Calibri"/>
                <w:kern w:val="2"/>
                <w14:ligatures w14:val="standardContextual"/>
              </w:rPr>
              <w:t>MTC</w:t>
            </w:r>
            <w:r w:rsidRPr="00F1121E">
              <w:rPr>
                <w:rFonts w:eastAsia="Calibri"/>
                <w:kern w:val="2"/>
                <w:vertAlign w:val="subscript"/>
                <w14:ligatures w14:val="standardContextual"/>
              </w:rPr>
              <w:t>tap</w:t>
            </w:r>
            <w:r w:rsidRPr="00F1121E">
              <w:rPr>
                <w:rFonts w:eastAsia="Calibri"/>
                <w:kern w:val="2"/>
                <w14:ligatures w14:val="standardContextual"/>
              </w:rPr>
              <w:t xml:space="preserve"> = N.D. (LOD = 0,1 мг/л) ⁽¹⁾</w:t>
            </w:r>
          </w:p>
        </w:tc>
      </w:tr>
    </w:tbl>
    <w:p w14:paraId="73113770" w14:textId="77777777" w:rsidR="00F1121E" w:rsidRPr="00F1121E" w:rsidRDefault="00F1121E" w:rsidP="00F1121E">
      <w:pPr>
        <w:widowControl w:val="0"/>
        <w:suppressAutoHyphens/>
        <w:ind w:right="57"/>
        <w:contextualSpacing/>
        <w:rPr>
          <w:b/>
          <w:bCs/>
        </w:rPr>
      </w:pPr>
    </w:p>
    <w:p w14:paraId="7688C8FC" w14:textId="77777777" w:rsidR="00F1121E" w:rsidRPr="00F1121E" w:rsidRDefault="00F1121E" w:rsidP="00F1121E">
      <w:pPr>
        <w:widowControl w:val="0"/>
        <w:suppressAutoHyphens/>
        <w:ind w:right="57"/>
        <w:contextualSpacing/>
        <w:rPr>
          <w:i/>
          <w:iCs/>
        </w:rPr>
      </w:pPr>
      <w:r w:rsidRPr="00F1121E">
        <w:t>⁽¹⁾</w:t>
      </w:r>
      <w:r w:rsidRPr="00F1121E">
        <w:rPr>
          <w:spacing w:val="-1"/>
          <w:w w:val="90"/>
        </w:rPr>
        <w:t xml:space="preserve"> Метод должен быть усовершенствован, чтобы иметь предел обнаружения (LOD) 0,1 мкг/л. </w:t>
      </w:r>
    </w:p>
    <w:p w14:paraId="789361B5" w14:textId="77777777" w:rsidR="00F1121E" w:rsidRPr="00F1121E" w:rsidRDefault="00F1121E" w:rsidP="00F1121E">
      <w:pPr>
        <w:widowControl w:val="0"/>
        <w:suppressAutoHyphens/>
        <w:ind w:right="57"/>
        <w:contextualSpacing/>
        <w:rPr>
          <w:spacing w:val="-1"/>
          <w:w w:val="90"/>
        </w:rPr>
      </w:pPr>
    </w:p>
    <w:p w14:paraId="491847D4" w14:textId="77777777" w:rsidR="00F1121E" w:rsidRPr="00F1121E" w:rsidRDefault="00F1121E" w:rsidP="00F1121E">
      <w:pPr>
        <w:widowControl w:val="0"/>
        <w:suppressAutoHyphens/>
        <w:ind w:right="57"/>
        <w:contextualSpacing/>
        <w:jc w:val="right"/>
        <w:rPr>
          <w:iCs/>
          <w:spacing w:val="-1"/>
          <w:w w:val="90"/>
        </w:rPr>
      </w:pPr>
      <w:r w:rsidRPr="00F1121E">
        <w:rPr>
          <w:iCs/>
          <w:spacing w:val="-1"/>
          <w:w w:val="90"/>
        </w:rPr>
        <w:t xml:space="preserve"> Таблица 3 </w:t>
      </w:r>
    </w:p>
    <w:p w14:paraId="43885938" w14:textId="77777777" w:rsidR="00F1121E" w:rsidRPr="00F1121E" w:rsidRDefault="00F1121E" w:rsidP="00F1121E">
      <w:pPr>
        <w:widowControl w:val="0"/>
        <w:suppressAutoHyphens/>
        <w:ind w:right="57"/>
        <w:contextualSpacing/>
        <w:jc w:val="right"/>
        <w:rPr>
          <w:b/>
          <w:bCs/>
          <w:iCs/>
          <w:spacing w:val="-1"/>
          <w:w w:val="90"/>
        </w:rPr>
      </w:pPr>
    </w:p>
    <w:p w14:paraId="60D3A4F0" w14:textId="77777777" w:rsidR="00F1121E" w:rsidRPr="00F1121E" w:rsidRDefault="00F1121E" w:rsidP="00F1121E">
      <w:pPr>
        <w:widowControl w:val="0"/>
        <w:suppressAutoHyphens/>
        <w:ind w:right="57"/>
        <w:contextualSpacing/>
        <w:jc w:val="center"/>
        <w:rPr>
          <w:b/>
          <w:bCs/>
          <w:iCs/>
          <w:spacing w:val="-1"/>
          <w:w w:val="90"/>
        </w:rPr>
      </w:pPr>
      <w:r w:rsidRPr="00F1121E">
        <w:rPr>
          <w:b/>
          <w:bCs/>
          <w:iCs/>
          <w:spacing w:val="-1"/>
          <w:w w:val="90"/>
        </w:rPr>
        <w:t>Требования в отношении аминов и нитрозаминов для резины</w:t>
      </w:r>
    </w:p>
    <w:p w14:paraId="326B8519" w14:textId="77777777" w:rsidR="00F1121E" w:rsidRPr="00F1121E" w:rsidRDefault="00F1121E" w:rsidP="00F1121E">
      <w:pPr>
        <w:widowControl w:val="0"/>
        <w:suppressAutoHyphens/>
        <w:ind w:right="57"/>
        <w:contextualSpacing/>
        <w:jc w:val="center"/>
        <w:rPr>
          <w:b/>
          <w:bCs/>
          <w:i/>
        </w:rPr>
      </w:pPr>
    </w:p>
    <w:tbl>
      <w:tblPr>
        <w:tblW w:w="95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2"/>
        <w:gridCol w:w="4258"/>
      </w:tblGrid>
      <w:tr w:rsidR="00F1121E" w:rsidRPr="00F1121E" w14:paraId="558EC385" w14:textId="77777777" w:rsidTr="000E6E1F">
        <w:trPr>
          <w:trHeight w:hRule="exact" w:val="338"/>
        </w:trPr>
        <w:tc>
          <w:tcPr>
            <w:tcW w:w="5302" w:type="dxa"/>
            <w:shd w:val="clear" w:color="auto" w:fill="FFFFFF"/>
          </w:tcPr>
          <w:p w14:paraId="61DDD7DD" w14:textId="77777777" w:rsidR="00F1121E" w:rsidRPr="00F1121E" w:rsidRDefault="00F1121E" w:rsidP="000E6E1F">
            <w:pPr>
              <w:ind w:firstLine="0"/>
              <w:jc w:val="center"/>
              <w:rPr>
                <w:rFonts w:eastAsia="Calibri"/>
                <w:b/>
                <w:bCs/>
                <w:kern w:val="2"/>
                <w14:ligatures w14:val="standardContextual"/>
              </w:rPr>
            </w:pPr>
            <w:r w:rsidRPr="00F1121E">
              <w:rPr>
                <w:rFonts w:eastAsia="Calibri"/>
                <w:b/>
                <w:kern w:val="2"/>
                <w14:ligatures w14:val="standardContextual"/>
              </w:rPr>
              <w:t>Параметр</w:t>
            </w:r>
          </w:p>
        </w:tc>
        <w:tc>
          <w:tcPr>
            <w:tcW w:w="4258" w:type="dxa"/>
            <w:shd w:val="clear" w:color="auto" w:fill="FFFFFF"/>
          </w:tcPr>
          <w:p w14:paraId="16AF1394" w14:textId="77777777" w:rsidR="00F1121E" w:rsidRPr="00F1121E" w:rsidRDefault="00F1121E" w:rsidP="000E6E1F">
            <w:pPr>
              <w:widowControl w:val="0"/>
              <w:suppressAutoHyphens/>
              <w:ind w:right="57"/>
              <w:contextualSpacing/>
              <w:jc w:val="center"/>
              <w:rPr>
                <w:b/>
                <w:bCs/>
              </w:rPr>
            </w:pPr>
            <w:r w:rsidRPr="00F1121E">
              <w:rPr>
                <w:b/>
                <w:bCs/>
              </w:rPr>
              <w:t>Ограничение</w:t>
            </w:r>
          </w:p>
        </w:tc>
      </w:tr>
      <w:tr w:rsidR="00F1121E" w:rsidRPr="00F1121E" w14:paraId="31B9D80A" w14:textId="77777777" w:rsidTr="000E6E1F">
        <w:trPr>
          <w:trHeight w:hRule="exact" w:val="566"/>
        </w:trPr>
        <w:tc>
          <w:tcPr>
            <w:tcW w:w="5302" w:type="dxa"/>
            <w:shd w:val="clear" w:color="auto" w:fill="FFFFFF"/>
          </w:tcPr>
          <w:p w14:paraId="60EFAC57" w14:textId="77777777" w:rsidR="00F1121E" w:rsidRPr="00F1121E" w:rsidRDefault="00F1121E" w:rsidP="000E6E1F">
            <w:pPr>
              <w:ind w:firstLine="0"/>
              <w:jc w:val="left"/>
              <w:rPr>
                <w:rFonts w:eastAsia="Calibri"/>
                <w:kern w:val="2"/>
                <w14:ligatures w14:val="standardContextual"/>
              </w:rPr>
            </w:pPr>
            <w:r w:rsidRPr="00F1121E">
              <w:rPr>
                <w:rFonts w:eastAsia="Calibri"/>
                <w:kern w:val="2"/>
                <w14:ligatures w14:val="standardContextual"/>
              </w:rPr>
              <w:t xml:space="preserve">Сумма первичных ароматических аминов (ПАА) </w:t>
            </w:r>
            <w:r w:rsidRPr="00F1121E">
              <w:rPr>
                <w:rFonts w:eastAsia="Calibri"/>
                <w:kern w:val="2"/>
                <w14:ligatures w14:val="standardContextual"/>
              </w:rPr>
              <w:br/>
              <w:t>(в том числе анилин, о-толуидин)</w:t>
            </w:r>
          </w:p>
        </w:tc>
        <w:tc>
          <w:tcPr>
            <w:tcW w:w="4258" w:type="dxa"/>
            <w:shd w:val="clear" w:color="auto" w:fill="FFFFFF"/>
          </w:tcPr>
          <w:p w14:paraId="65B37C71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contextualSpacing/>
            </w:pPr>
            <w:bookmarkStart w:id="5" w:name="bookmark8"/>
            <w:bookmarkEnd w:id="5"/>
            <w:r w:rsidRPr="00F1121E">
              <w:t>MTC</w:t>
            </w:r>
            <w:r w:rsidRPr="00F1121E">
              <w:rPr>
                <w:vertAlign w:val="subscript"/>
              </w:rPr>
              <w:t>tap</w:t>
            </w:r>
            <w:r w:rsidRPr="00F1121E">
              <w:t xml:space="preserve"> = N.D. (LOD = 0,1 мг/л) </w:t>
            </w:r>
            <w:bookmarkStart w:id="6" w:name="_Hlk182208242"/>
            <w:r w:rsidRPr="00F1121E">
              <w:rPr>
                <w:b/>
                <w:bCs/>
              </w:rPr>
              <w:t>⁽¹⁾</w:t>
            </w:r>
            <w:bookmarkEnd w:id="6"/>
          </w:p>
        </w:tc>
      </w:tr>
      <w:tr w:rsidR="00F1121E" w:rsidRPr="00F1121E" w14:paraId="2F91AC92" w14:textId="77777777" w:rsidTr="000E6E1F">
        <w:trPr>
          <w:trHeight w:hRule="exact" w:val="352"/>
        </w:trPr>
        <w:tc>
          <w:tcPr>
            <w:tcW w:w="5302" w:type="dxa"/>
            <w:shd w:val="clear" w:color="auto" w:fill="FFFFFF"/>
          </w:tcPr>
          <w:p w14:paraId="41A1BB12" w14:textId="77777777" w:rsidR="00F1121E" w:rsidRPr="00F1121E" w:rsidRDefault="00F1121E" w:rsidP="000E6E1F">
            <w:pPr>
              <w:ind w:firstLine="0"/>
              <w:jc w:val="left"/>
              <w:rPr>
                <w:rFonts w:eastAsia="Calibri"/>
                <w:kern w:val="2"/>
                <w14:ligatures w14:val="standardContextual"/>
              </w:rPr>
            </w:pPr>
            <w:bookmarkStart w:id="7" w:name="bookmark9"/>
            <w:bookmarkEnd w:id="7"/>
            <w:r w:rsidRPr="00F1121E">
              <w:rPr>
                <w:rFonts w:eastAsia="Calibri"/>
                <w:kern w:val="2"/>
                <w14:ligatures w14:val="standardContextual"/>
              </w:rPr>
              <w:t>Сумма вторичных аминов ⁽²⁾</w:t>
            </w:r>
          </w:p>
        </w:tc>
        <w:tc>
          <w:tcPr>
            <w:tcW w:w="4258" w:type="dxa"/>
            <w:shd w:val="clear" w:color="auto" w:fill="FFFFFF"/>
          </w:tcPr>
          <w:p w14:paraId="7492674B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contextualSpacing/>
            </w:pPr>
            <w:r w:rsidRPr="00F1121E">
              <w:t>MTC</w:t>
            </w:r>
            <w:r w:rsidRPr="00F1121E">
              <w:rPr>
                <w:vertAlign w:val="subscript"/>
              </w:rPr>
              <w:t>tap</w:t>
            </w:r>
            <w:r w:rsidRPr="00F1121E">
              <w:t xml:space="preserve"> = 250 мг/л</w:t>
            </w:r>
          </w:p>
        </w:tc>
      </w:tr>
      <w:tr w:rsidR="00F1121E" w:rsidRPr="00F1121E" w14:paraId="5C5A6CC8" w14:textId="77777777" w:rsidTr="000E6E1F">
        <w:trPr>
          <w:trHeight w:hRule="exact" w:val="352"/>
        </w:trPr>
        <w:tc>
          <w:tcPr>
            <w:tcW w:w="5302" w:type="dxa"/>
            <w:shd w:val="clear" w:color="auto" w:fill="FFFFFF"/>
          </w:tcPr>
          <w:p w14:paraId="02962E7D" w14:textId="77777777" w:rsidR="00F1121E" w:rsidRPr="00F1121E" w:rsidRDefault="00F1121E" w:rsidP="000E6E1F">
            <w:pPr>
              <w:ind w:firstLine="0"/>
              <w:jc w:val="left"/>
              <w:rPr>
                <w:rFonts w:eastAsia="Calibri"/>
                <w:kern w:val="2"/>
                <w14:ligatures w14:val="standardContextual"/>
              </w:rPr>
            </w:pPr>
            <w:bookmarkStart w:id="8" w:name="bookmark10"/>
            <w:bookmarkEnd w:id="8"/>
            <w:r w:rsidRPr="00F1121E">
              <w:rPr>
                <w:rFonts w:eastAsia="Calibri"/>
                <w:kern w:val="2"/>
                <w14:ligatures w14:val="standardContextual"/>
              </w:rPr>
              <w:t>Сумма N-нитрозаминов ⁽³⁾</w:t>
            </w:r>
          </w:p>
        </w:tc>
        <w:tc>
          <w:tcPr>
            <w:tcW w:w="4258" w:type="dxa"/>
            <w:shd w:val="clear" w:color="auto" w:fill="FFFFFF"/>
          </w:tcPr>
          <w:p w14:paraId="568235E5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contextualSpacing/>
              <w:rPr>
                <w:lang w:val="en-US"/>
              </w:rPr>
            </w:pPr>
            <w:r w:rsidRPr="00F1121E">
              <w:rPr>
                <w:lang w:val="en-US"/>
              </w:rPr>
              <w:t>MTC</w:t>
            </w:r>
            <w:r w:rsidRPr="00F1121E">
              <w:rPr>
                <w:vertAlign w:val="subscript"/>
                <w:lang w:val="en-US"/>
              </w:rPr>
              <w:t>tap</w:t>
            </w:r>
            <w:r w:rsidRPr="00F1121E">
              <w:rPr>
                <w:lang w:val="en-US"/>
              </w:rPr>
              <w:t xml:space="preserve"> = N.D. (LOD = 0,1 </w:t>
            </w:r>
            <w:r w:rsidRPr="00F1121E">
              <w:t>мг</w:t>
            </w:r>
            <w:r w:rsidRPr="00F1121E">
              <w:rPr>
                <w:lang w:val="en-US"/>
              </w:rPr>
              <w:t>/</w:t>
            </w:r>
            <w:r w:rsidRPr="00F1121E">
              <w:t>л</w:t>
            </w:r>
            <w:r w:rsidRPr="00F1121E">
              <w:rPr>
                <w:lang w:val="en-US"/>
              </w:rPr>
              <w:t>)</w:t>
            </w:r>
          </w:p>
        </w:tc>
      </w:tr>
    </w:tbl>
    <w:p w14:paraId="140C164A" w14:textId="77777777" w:rsidR="00F1121E" w:rsidRPr="00F1121E" w:rsidRDefault="00F1121E" w:rsidP="00F1121E">
      <w:pPr>
        <w:widowControl w:val="0"/>
        <w:suppressAutoHyphens/>
        <w:ind w:right="57"/>
        <w:contextualSpacing/>
        <w:rPr>
          <w:i/>
          <w:iCs/>
          <w:lang w:val="en-US"/>
        </w:rPr>
      </w:pPr>
    </w:p>
    <w:p w14:paraId="2EBFE25C" w14:textId="77777777" w:rsidR="00F1121E" w:rsidRPr="00F1121E" w:rsidRDefault="00F1121E" w:rsidP="00F1121E">
      <w:pPr>
        <w:widowControl w:val="0"/>
        <w:suppressAutoHyphens/>
        <w:ind w:right="57"/>
        <w:contextualSpacing/>
        <w:rPr>
          <w:bCs/>
        </w:rPr>
      </w:pPr>
      <w:r w:rsidRPr="00F1121E">
        <w:rPr>
          <w:bCs/>
        </w:rPr>
        <w:t>⁽¹⁾ Метод следует усовершенствовать, чтобы получить предел обнаружения (LOD) 0,1 мкг/л.</w:t>
      </w:r>
    </w:p>
    <w:p w14:paraId="125BB639" w14:textId="77777777" w:rsidR="00F1121E" w:rsidRPr="00F1121E" w:rsidRDefault="00F1121E" w:rsidP="00F1121E">
      <w:pPr>
        <w:widowControl w:val="0"/>
        <w:suppressAutoHyphens/>
        <w:ind w:right="57"/>
        <w:contextualSpacing/>
        <w:rPr>
          <w:bCs/>
        </w:rPr>
      </w:pPr>
      <w:r w:rsidRPr="00F1121E">
        <w:rPr>
          <w:bCs/>
        </w:rPr>
        <w:t>⁽²⁾ Сумма: ди-н-бутиламин (CAS 111-92-2), диэтиламин (CAS 109-89-7), диметиламин (CAS 124-40-</w:t>
      </w:r>
      <w:r w:rsidRPr="00F1121E">
        <w:rPr>
          <w:bCs/>
        </w:rPr>
        <w:lastRenderedPageBreak/>
        <w:t>3), дициклогексиламин (CAS 101-83-7), N-этилциклогексиламином (CAS 5459-93-8), дифениламином (CAS 122-39-4), дибензиламином (CAS 103-49-1), N-метилбензиламином (CAS 103-67-3), бензилиден-бензиламин (CAS 780-25-6) N-метиланилин (CAS 100-61-8), N-этиланилин (CAS 103-69-5), N-бутиланилин (CAS 1126-78-9).</w:t>
      </w:r>
    </w:p>
    <w:p w14:paraId="636A512B" w14:textId="77777777" w:rsidR="00F1121E" w:rsidRPr="00F1121E" w:rsidRDefault="00F1121E" w:rsidP="00F1121E">
      <w:pPr>
        <w:widowControl w:val="0"/>
        <w:suppressAutoHyphens/>
        <w:ind w:right="57"/>
        <w:contextualSpacing/>
      </w:pPr>
      <w:r w:rsidRPr="00F1121E">
        <w:rPr>
          <w:bCs/>
        </w:rPr>
        <w:t>⁽³⁾ Сумма из: N-нитрозо-ди-н-бутиламин (CAS 924-16-3), N-нитрозо-диэтаноламин (CAS 1116-54-7), N-нитрозо-диэтиламин (CAS 55-18-5), N-нитрозо-диизопропиламин (CAS 601-77-4), N-нитрозо-диметиламин (CAS 62-75-9), N-нитрозо-дипропиламин (CAS 621-64-7), N-нитрозо-N-этил-N-фениламин (CAS 612-64-6), N-нитрозо-N-метилэтиламин (CAS 10595-95-6) N-нитрозо-N-метил-N-фениламин (CAS 614-00-6), N-нитрозо-морфолин (CAS 59-89-2), N-нитрозо-пиперидин (CAS 100-75-4), N-нитрозо-пиролидин (CAS 930-55-2).</w:t>
      </w:r>
    </w:p>
    <w:p w14:paraId="00B8BBC3" w14:textId="77777777" w:rsidR="00F1121E" w:rsidRPr="00F1121E" w:rsidRDefault="00F1121E" w:rsidP="00F1121E">
      <w:pPr>
        <w:rPr>
          <w:rFonts w:cstheme="majorBidi"/>
        </w:rPr>
      </w:pPr>
    </w:p>
    <w:p w14:paraId="4A07D2D9" w14:textId="77777777" w:rsidR="00F1121E" w:rsidRPr="00F1121E" w:rsidRDefault="00F1121E" w:rsidP="00F1121E">
      <w:pPr>
        <w:widowControl w:val="0"/>
        <w:suppressAutoHyphens/>
        <w:ind w:right="57"/>
        <w:contextualSpacing/>
        <w:jc w:val="right"/>
      </w:pPr>
      <w:r w:rsidRPr="00F1121E">
        <w:t>Таблица 4</w:t>
      </w:r>
    </w:p>
    <w:p w14:paraId="2930B2B7" w14:textId="77777777" w:rsidR="00F1121E" w:rsidRPr="00F1121E" w:rsidRDefault="00F1121E" w:rsidP="00F1121E">
      <w:pPr>
        <w:widowControl w:val="0"/>
        <w:suppressAutoHyphens/>
        <w:ind w:right="57"/>
        <w:contextualSpacing/>
        <w:jc w:val="right"/>
      </w:pPr>
    </w:p>
    <w:p w14:paraId="4C44DA4A" w14:textId="77777777" w:rsidR="00F1121E" w:rsidRPr="00F1121E" w:rsidRDefault="00F1121E" w:rsidP="00F1121E">
      <w:pPr>
        <w:widowControl w:val="0"/>
        <w:suppressAutoHyphens/>
        <w:ind w:right="57"/>
        <w:contextualSpacing/>
        <w:jc w:val="center"/>
        <w:rPr>
          <w:b/>
          <w:iCs/>
        </w:rPr>
      </w:pPr>
      <w:r w:rsidRPr="00F1121E">
        <w:rPr>
          <w:b/>
          <w:iCs/>
        </w:rPr>
        <w:t xml:space="preserve">Требования к нитрозаминам для конечных материалов, кроме резины, изготовленных из исходных веществ с N-функциональными группами, </w:t>
      </w:r>
      <w:r w:rsidRPr="00F1121E">
        <w:rPr>
          <w:b/>
          <w:iCs/>
        </w:rPr>
        <w:br/>
        <w:t>при испытании хлорированной испытательной водой</w:t>
      </w:r>
    </w:p>
    <w:p w14:paraId="0877317D" w14:textId="77777777" w:rsidR="00F1121E" w:rsidRPr="00F1121E" w:rsidRDefault="00F1121E" w:rsidP="00F1121E">
      <w:pPr>
        <w:widowControl w:val="0"/>
        <w:suppressAutoHyphens/>
        <w:ind w:right="57"/>
        <w:contextualSpacing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8"/>
        <w:gridCol w:w="4759"/>
      </w:tblGrid>
      <w:tr w:rsidR="00F1121E" w:rsidRPr="00F1121E" w14:paraId="67D62928" w14:textId="77777777" w:rsidTr="000E6E1F">
        <w:trPr>
          <w:trHeight w:hRule="exact" w:val="369"/>
          <w:jc w:val="center"/>
        </w:trPr>
        <w:tc>
          <w:tcPr>
            <w:tcW w:w="4268" w:type="dxa"/>
            <w:shd w:val="clear" w:color="auto" w:fill="FFFFFF" w:themeFill="background1"/>
          </w:tcPr>
          <w:p w14:paraId="5FB22B66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contextualSpacing/>
              <w:jc w:val="center"/>
              <w:rPr>
                <w:b/>
              </w:rPr>
            </w:pPr>
            <w:r w:rsidRPr="00F1121E">
              <w:rPr>
                <w:b/>
              </w:rPr>
              <w:t>Параметр</w:t>
            </w:r>
          </w:p>
        </w:tc>
        <w:tc>
          <w:tcPr>
            <w:tcW w:w="4759" w:type="dxa"/>
            <w:shd w:val="clear" w:color="auto" w:fill="FFFFFF" w:themeFill="background1"/>
          </w:tcPr>
          <w:p w14:paraId="5137E196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contextualSpacing/>
              <w:jc w:val="center"/>
            </w:pPr>
            <w:r w:rsidRPr="00F1121E">
              <w:rPr>
                <w:b/>
                <w:bCs/>
              </w:rPr>
              <w:t>Ограничение</w:t>
            </w:r>
          </w:p>
        </w:tc>
      </w:tr>
      <w:tr w:rsidR="00F1121E" w:rsidRPr="00F1121E" w14:paraId="78C09ABD" w14:textId="77777777" w:rsidTr="000E6E1F">
        <w:trPr>
          <w:trHeight w:hRule="exact" w:val="369"/>
          <w:jc w:val="center"/>
        </w:trPr>
        <w:tc>
          <w:tcPr>
            <w:tcW w:w="4268" w:type="dxa"/>
            <w:shd w:val="clear" w:color="auto" w:fill="FFFFFF" w:themeFill="background1"/>
          </w:tcPr>
          <w:p w14:paraId="1DF5D26D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contextualSpacing/>
            </w:pPr>
            <w:bookmarkStart w:id="9" w:name="bookmark14"/>
            <w:bookmarkEnd w:id="9"/>
            <w:r w:rsidRPr="00F1121E">
              <w:t>Сумма N-нитрозаминов ⁽¹⁾</w:t>
            </w:r>
          </w:p>
        </w:tc>
        <w:tc>
          <w:tcPr>
            <w:tcW w:w="4759" w:type="dxa"/>
            <w:shd w:val="clear" w:color="auto" w:fill="FFFFFF" w:themeFill="background1"/>
          </w:tcPr>
          <w:p w14:paraId="7A9672D7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contextualSpacing/>
              <w:rPr>
                <w:lang w:val="en-US"/>
              </w:rPr>
            </w:pPr>
            <w:r w:rsidRPr="00F1121E">
              <w:rPr>
                <w:lang w:val="en-US"/>
              </w:rPr>
              <w:t>MTC</w:t>
            </w:r>
            <w:r w:rsidRPr="00F1121E">
              <w:rPr>
                <w:vertAlign w:val="subscript"/>
                <w:lang w:val="en-US"/>
              </w:rPr>
              <w:t>tap</w:t>
            </w:r>
            <w:r w:rsidRPr="00F1121E">
              <w:rPr>
                <w:lang w:val="en-US"/>
              </w:rPr>
              <w:t xml:space="preserve"> = N.D. (LOD = 0,1 </w:t>
            </w:r>
            <w:r w:rsidRPr="00F1121E">
              <w:t>мг</w:t>
            </w:r>
            <w:r w:rsidRPr="00F1121E">
              <w:rPr>
                <w:lang w:val="en-US"/>
              </w:rPr>
              <w:t>/</w:t>
            </w:r>
            <w:r w:rsidRPr="00F1121E">
              <w:t>л</w:t>
            </w:r>
            <w:r w:rsidRPr="00F1121E">
              <w:rPr>
                <w:lang w:val="en-US"/>
              </w:rPr>
              <w:t>)</w:t>
            </w:r>
          </w:p>
        </w:tc>
      </w:tr>
    </w:tbl>
    <w:p w14:paraId="0FFD2F96" w14:textId="77777777" w:rsidR="00F1121E" w:rsidRPr="00F1121E" w:rsidRDefault="00F1121E" w:rsidP="00F1121E">
      <w:pPr>
        <w:widowControl w:val="0"/>
        <w:autoSpaceDE w:val="0"/>
        <w:autoSpaceDN w:val="0"/>
        <w:adjustRightInd w:val="0"/>
        <w:ind w:right="57" w:firstLine="0"/>
        <w:rPr>
          <w:rFonts w:eastAsiaTheme="minorEastAsia"/>
          <w:i/>
          <w:iCs/>
          <w:lang w:val="en-US"/>
        </w:rPr>
      </w:pPr>
      <w:bookmarkStart w:id="10" w:name="_Hlk182211779"/>
    </w:p>
    <w:p w14:paraId="7F1748C2" w14:textId="77777777" w:rsidR="00F1121E" w:rsidRPr="00F1121E" w:rsidRDefault="00F1121E" w:rsidP="00F1121E">
      <w:pPr>
        <w:widowControl w:val="0"/>
        <w:autoSpaceDE w:val="0"/>
        <w:autoSpaceDN w:val="0"/>
        <w:adjustRightInd w:val="0"/>
        <w:ind w:right="57"/>
        <w:rPr>
          <w:b/>
          <w:bCs/>
          <w:lang w:val="en-US"/>
        </w:rPr>
      </w:pPr>
      <w:r w:rsidRPr="00F1121E">
        <w:rPr>
          <w:rFonts w:eastAsiaTheme="minorEastAsia"/>
          <w:lang w:val="en-US"/>
        </w:rPr>
        <w:t>⁽¹⁾</w:t>
      </w:r>
      <w:bookmarkEnd w:id="10"/>
      <w:r w:rsidRPr="00F1121E">
        <w:rPr>
          <w:rFonts w:eastAsiaTheme="minorEastAsia"/>
          <w:lang w:val="en-US"/>
        </w:rPr>
        <w:t xml:space="preserve"> </w:t>
      </w:r>
      <w:r w:rsidRPr="00F1121E">
        <w:rPr>
          <w:rFonts w:eastAsiaTheme="minorEastAsia"/>
          <w:w w:val="90"/>
        </w:rPr>
        <w:t>Сумма</w:t>
      </w:r>
      <w:r w:rsidRPr="00F1121E">
        <w:rPr>
          <w:rFonts w:eastAsiaTheme="minorEastAsia"/>
          <w:w w:val="90"/>
          <w:lang w:val="en-US"/>
        </w:rPr>
        <w:t xml:space="preserve"> </w:t>
      </w:r>
      <w:r w:rsidRPr="00F1121E">
        <w:rPr>
          <w:rFonts w:eastAsiaTheme="minorEastAsia"/>
          <w:w w:val="90"/>
        </w:rPr>
        <w:t>из</w:t>
      </w:r>
      <w:r w:rsidRPr="00F1121E">
        <w:rPr>
          <w:rFonts w:eastAsiaTheme="minorEastAsia"/>
          <w:w w:val="90"/>
          <w:lang w:val="en-US"/>
        </w:rPr>
        <w:t>: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ди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н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бутиламин</w:t>
      </w:r>
      <w:r w:rsidRPr="00F1121E">
        <w:rPr>
          <w:rFonts w:eastAsiaTheme="minorEastAsia"/>
          <w:w w:val="90"/>
          <w:lang w:val="en-US"/>
        </w:rPr>
        <w:t xml:space="preserve"> (CAS 924-16-3),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диэтаноламин</w:t>
      </w:r>
      <w:r w:rsidRPr="00F1121E">
        <w:rPr>
          <w:rFonts w:eastAsiaTheme="minorEastAsia"/>
          <w:w w:val="90"/>
          <w:lang w:val="en-US"/>
        </w:rPr>
        <w:t xml:space="preserve"> (CAS 1116-54-7),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диэтиламин</w:t>
      </w:r>
      <w:r w:rsidRPr="00F1121E">
        <w:rPr>
          <w:rFonts w:eastAsiaTheme="minorEastAsia"/>
          <w:w w:val="90"/>
          <w:lang w:val="en-US"/>
        </w:rPr>
        <w:t xml:space="preserve"> (CAS 55-18-5),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диизопропиламин</w:t>
      </w:r>
      <w:r w:rsidRPr="00F1121E">
        <w:rPr>
          <w:rFonts w:eastAsiaTheme="minorEastAsia"/>
          <w:w w:val="90"/>
          <w:lang w:val="en-US"/>
        </w:rPr>
        <w:t xml:space="preserve"> (CAS 601-77-4),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диметиламин</w:t>
      </w:r>
      <w:r w:rsidRPr="00F1121E">
        <w:rPr>
          <w:rFonts w:eastAsiaTheme="minorEastAsia"/>
          <w:w w:val="90"/>
          <w:lang w:val="en-US"/>
        </w:rPr>
        <w:t xml:space="preserve"> (CAS 62-75-9),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дипропиламин</w:t>
      </w:r>
      <w:r w:rsidRPr="00F1121E">
        <w:rPr>
          <w:rFonts w:eastAsiaTheme="minorEastAsia"/>
          <w:w w:val="90"/>
          <w:lang w:val="en-US"/>
        </w:rPr>
        <w:t xml:space="preserve"> (CAS 621-64-7),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-N-</w:t>
      </w:r>
      <w:r w:rsidRPr="00F1121E">
        <w:rPr>
          <w:rFonts w:eastAsiaTheme="minorEastAsia"/>
          <w:w w:val="90"/>
        </w:rPr>
        <w:t>этил</w:t>
      </w:r>
      <w:r w:rsidRPr="00F1121E">
        <w:rPr>
          <w:rFonts w:eastAsiaTheme="minorEastAsia"/>
          <w:w w:val="90"/>
          <w:lang w:val="en-US"/>
        </w:rPr>
        <w:t>-N-</w:t>
      </w:r>
      <w:r w:rsidRPr="00F1121E">
        <w:rPr>
          <w:rFonts w:eastAsiaTheme="minorEastAsia"/>
          <w:w w:val="90"/>
        </w:rPr>
        <w:t>фениламин</w:t>
      </w:r>
      <w:r w:rsidRPr="00F1121E">
        <w:rPr>
          <w:rFonts w:eastAsiaTheme="minorEastAsia"/>
          <w:w w:val="90"/>
          <w:lang w:val="en-US"/>
        </w:rPr>
        <w:t xml:space="preserve"> (CAS 612-64-6),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-N-</w:t>
      </w:r>
      <w:r w:rsidRPr="00F1121E">
        <w:rPr>
          <w:rFonts w:eastAsiaTheme="minorEastAsia"/>
          <w:w w:val="90"/>
        </w:rPr>
        <w:t>метилэтиламин</w:t>
      </w:r>
      <w:r w:rsidRPr="00F1121E">
        <w:rPr>
          <w:rFonts w:eastAsiaTheme="minorEastAsia"/>
          <w:w w:val="90"/>
          <w:lang w:val="en-US"/>
        </w:rPr>
        <w:t xml:space="preserve"> (CAS 10595-95-6)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-N-</w:t>
      </w:r>
      <w:r w:rsidRPr="00F1121E">
        <w:rPr>
          <w:rFonts w:eastAsiaTheme="minorEastAsia"/>
          <w:w w:val="90"/>
        </w:rPr>
        <w:t>метил</w:t>
      </w:r>
      <w:r w:rsidRPr="00F1121E">
        <w:rPr>
          <w:rFonts w:eastAsiaTheme="minorEastAsia"/>
          <w:w w:val="90"/>
          <w:lang w:val="en-US"/>
        </w:rPr>
        <w:t>-N-</w:t>
      </w:r>
      <w:r w:rsidRPr="00F1121E">
        <w:rPr>
          <w:rFonts w:eastAsiaTheme="minorEastAsia"/>
          <w:w w:val="90"/>
        </w:rPr>
        <w:t>фениламин</w:t>
      </w:r>
      <w:r w:rsidRPr="00F1121E">
        <w:rPr>
          <w:rFonts w:eastAsiaTheme="minorEastAsia"/>
          <w:w w:val="90"/>
          <w:lang w:val="en-US"/>
        </w:rPr>
        <w:t xml:space="preserve"> (CAS 614-00-6),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морфолин</w:t>
      </w:r>
      <w:r w:rsidRPr="00F1121E">
        <w:rPr>
          <w:rFonts w:eastAsiaTheme="minorEastAsia"/>
          <w:w w:val="90"/>
          <w:lang w:val="en-US"/>
        </w:rPr>
        <w:t xml:space="preserve"> (CAS 59-89-2),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пиперидин</w:t>
      </w:r>
      <w:r w:rsidRPr="00F1121E">
        <w:rPr>
          <w:rFonts w:eastAsiaTheme="minorEastAsia"/>
          <w:w w:val="90"/>
          <w:lang w:val="en-US"/>
        </w:rPr>
        <w:t xml:space="preserve"> (CAS 100-75-4), N-</w:t>
      </w:r>
      <w:r w:rsidRPr="00F1121E">
        <w:rPr>
          <w:rFonts w:eastAsiaTheme="minorEastAsia"/>
          <w:w w:val="90"/>
        </w:rPr>
        <w:t>нитрозо</w:t>
      </w:r>
      <w:r w:rsidRPr="00F1121E">
        <w:rPr>
          <w:rFonts w:eastAsiaTheme="minorEastAsia"/>
          <w:w w:val="90"/>
          <w:lang w:val="en-US"/>
        </w:rPr>
        <w:t>-</w:t>
      </w:r>
      <w:r w:rsidRPr="00F1121E">
        <w:rPr>
          <w:rFonts w:eastAsiaTheme="minorEastAsia"/>
          <w:w w:val="90"/>
        </w:rPr>
        <w:t>пиролидин</w:t>
      </w:r>
      <w:r w:rsidRPr="00F1121E">
        <w:rPr>
          <w:rFonts w:eastAsiaTheme="minorEastAsia"/>
          <w:w w:val="90"/>
          <w:lang w:val="en-US"/>
        </w:rPr>
        <w:t xml:space="preserve"> (CAS 930-55-2).</w:t>
      </w:r>
    </w:p>
    <w:p w14:paraId="3B4F2E51" w14:textId="77777777" w:rsidR="00F1121E" w:rsidRPr="00F1121E" w:rsidRDefault="00F1121E" w:rsidP="00F1121E">
      <w:pPr>
        <w:widowControl w:val="0"/>
        <w:suppressAutoHyphens/>
        <w:ind w:right="57"/>
        <w:rPr>
          <w:b/>
          <w:bCs/>
          <w:lang w:val="en-US"/>
        </w:rPr>
      </w:pPr>
    </w:p>
    <w:p w14:paraId="67B0AC5F" w14:textId="77777777" w:rsidR="00F1121E" w:rsidRPr="00F1121E" w:rsidRDefault="00F1121E" w:rsidP="00F1121E">
      <w:pPr>
        <w:ind w:firstLine="0"/>
        <w:jc w:val="center"/>
        <w:rPr>
          <w:rFonts w:eastAsia="Calibri"/>
          <w:b/>
          <w:kern w:val="2"/>
          <w14:ligatures w14:val="standardContextual"/>
        </w:rPr>
      </w:pPr>
      <w:r w:rsidRPr="00F1121E">
        <w:rPr>
          <w:rFonts w:eastAsia="Calibri"/>
          <w:b/>
          <w:kern w:val="2"/>
          <w14:ligatures w14:val="standardContextual"/>
        </w:rPr>
        <w:t>Требования к испытаниям</w:t>
      </w:r>
    </w:p>
    <w:p w14:paraId="7FD19545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</w:p>
    <w:p w14:paraId="26587353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b/>
          <w:bCs/>
          <w:kern w:val="2"/>
          <w14:ligatures w14:val="standardContextual"/>
        </w:rPr>
        <w:t>4.</w:t>
      </w:r>
      <w:r w:rsidRPr="00F1121E">
        <w:rPr>
          <w:rFonts w:eastAsia="Calibri"/>
          <w:kern w:val="2"/>
          <w14:ligatures w14:val="standardContextual"/>
        </w:rPr>
        <w:t> Испытание на миграцию</w:t>
      </w:r>
    </w:p>
    <w:p w14:paraId="2A4D095A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4.1. </w:t>
      </w:r>
      <w:r w:rsidRPr="00F1121E">
        <w:rPr>
          <w:rFonts w:eastAsia="Calibri"/>
          <w:i/>
          <w:kern w:val="2"/>
          <w14:ligatures w14:val="standardContextual"/>
        </w:rPr>
        <w:t>Стандарты</w:t>
      </w:r>
    </w:p>
    <w:p w14:paraId="686C7F22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4.1.1. Для испытания на выделение соответствующих веществ, неожиданных веществ и ООУ используются следующие стандарты для получения миграционных вод:</w:t>
      </w:r>
    </w:p>
    <w:p w14:paraId="25563975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4.1.1.1. для заводских изделий: SM EN 12873-1:2015;</w:t>
      </w:r>
    </w:p>
    <w:p w14:paraId="77E70BE0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4.1.1.2. для материалов, применяемых при установке: SM EN 12873-2:2022.</w:t>
      </w:r>
    </w:p>
    <w:p w14:paraId="75BF906D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4.1.2. Для испытания запаха и вкуса, цвета и мутности используется стандарт SM EN 1420:2016 для получения миграционных вод.</w:t>
      </w:r>
    </w:p>
    <w:p w14:paraId="51148FC5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4.1.3. Указанные стандарты EN предусматривают варианты тестирования. Следующие положения пунктов 4.2.4, 4.2.3, 4.2.4 и 4.2.5 дополняют эти стандарты.</w:t>
      </w:r>
    </w:p>
    <w:p w14:paraId="1CDC613E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</w:p>
    <w:p w14:paraId="4D8B57D9" w14:textId="77777777" w:rsidR="00F1121E" w:rsidRPr="00F1121E" w:rsidRDefault="00F1121E" w:rsidP="00F1121E">
      <w:pPr>
        <w:rPr>
          <w:rFonts w:eastAsia="Calibri"/>
          <w:i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4.2. </w:t>
      </w:r>
      <w:r w:rsidRPr="00F1121E">
        <w:rPr>
          <w:rFonts w:eastAsia="Calibri"/>
          <w:i/>
          <w:kern w:val="2"/>
          <w14:ligatures w14:val="standardContextual"/>
        </w:rPr>
        <w:t>Испытательный образец</w:t>
      </w:r>
    </w:p>
    <w:p w14:paraId="75B5EEE1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4.2.1. Для изделия или компонента, размеры которого не позволяют применить испытание на практике, предоставляется репрезентативный испытательный образец.</w:t>
      </w:r>
    </w:p>
    <w:p w14:paraId="5F9A1FC7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4.2.2. Особое внимание уделяется изготовлению испытательного образца.</w:t>
      </w:r>
    </w:p>
    <w:p w14:paraId="36C200D1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</w:p>
    <w:p w14:paraId="4BA61E81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4.2.3. </w:t>
      </w:r>
      <w:r w:rsidRPr="00F1121E">
        <w:rPr>
          <w:rFonts w:eastAsia="Calibri"/>
          <w:i/>
          <w:iCs/>
          <w:kern w:val="2"/>
          <w14:ligatures w14:val="standardContextual"/>
        </w:rPr>
        <w:t>Температура испытания</w:t>
      </w:r>
    </w:p>
    <w:p w14:paraId="3EED06C4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4.2.3.1. Все изделия испытываются при температуре 23 °C ± 2 °C (условие испытания с холодной водой).</w:t>
      </w:r>
    </w:p>
    <w:p w14:paraId="2629671E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 xml:space="preserve">4.2.3.2. Кроме того, изделия, обычно используемые для горячей или очень горячей воды, испытываются при температуре 60 °C ± 2 °C или 85 °C ± 2 °C соответственно. В этом смысле горячая вода соответствует нормальным рабочим температурам от 30 °C до 70 °C, а кипяток – рабочим температурам выше 70 °C. </w:t>
      </w:r>
    </w:p>
    <w:p w14:paraId="1D65C28B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 xml:space="preserve">4.2.3.3. Кроме того, многослойные изделия всегда испытываются при 60 °C ± 2 °C или 85 °C ± 2 °C, даже если они не используются при таких температурах. </w:t>
      </w:r>
    </w:p>
    <w:p w14:paraId="63E4FD66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</w:p>
    <w:p w14:paraId="62DA2704" w14:textId="77777777" w:rsidR="00F1121E" w:rsidRPr="00F1121E" w:rsidRDefault="00F1121E" w:rsidP="00F1121E">
      <w:pPr>
        <w:rPr>
          <w:rFonts w:eastAsia="Calibri"/>
          <w:i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4.2.4. </w:t>
      </w:r>
      <w:r w:rsidRPr="00F1121E">
        <w:rPr>
          <w:rFonts w:eastAsia="Calibri"/>
          <w:i/>
          <w:iCs/>
          <w:kern w:val="2"/>
          <w14:ligatures w14:val="standardContextual"/>
        </w:rPr>
        <w:t xml:space="preserve">Тип испытательной воды </w:t>
      </w:r>
    </w:p>
    <w:p w14:paraId="6617B30C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lastRenderedPageBreak/>
        <w:t>4.2.4.1. Испытание холодной водой (23 °C ± 2 °C) проводится с использованием хлорированной и нехлорированной испытательной воды.</w:t>
      </w:r>
    </w:p>
    <w:p w14:paraId="363CB118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4.2.4.2. Если необходимо провести испытание теплой или горячей водой, это испытание проводится только с использованием нехлорированной испытательной воды.</w:t>
      </w:r>
    </w:p>
    <w:p w14:paraId="5162C879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</w:p>
    <w:p w14:paraId="55B1B33B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4.2.5. </w:t>
      </w:r>
      <w:r w:rsidRPr="00F1121E">
        <w:rPr>
          <w:rFonts w:eastAsia="Calibri"/>
          <w:i/>
          <w:iCs/>
          <w:kern w:val="2"/>
          <w14:ligatures w14:val="standardContextual"/>
        </w:rPr>
        <w:t>Периоды миграции</w:t>
      </w:r>
      <w:r w:rsidRPr="00F1121E">
        <w:rPr>
          <w:rFonts w:eastAsia="Calibri"/>
          <w:iCs/>
          <w:kern w:val="2"/>
          <w14:ligatures w14:val="standardContextual"/>
        </w:rPr>
        <w:t xml:space="preserve"> </w:t>
      </w:r>
    </w:p>
    <w:p w14:paraId="1D35C024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4.2.5.1. Для испытания с холодной водой анализируются образцы миграционных вод для 1, 2 и 3-го периодов миграции в соответствии со стандартами. Соблюдение критериев приемлемости/неприемлемости оценивается в 3-м периоде миграции (10-й день испытания). Если критерии приемлемости/неприемлемости, установленные в подпунктах 5.2 и 5.3, не соблюдаются в 3-м периоде миграции, испытание может быть продлено, при этом необходимо дополнительно проанализировать 5, 7 и 9-й периоды. В этом случае критерии приемлемости/неприемлемости оцениваются в 9-м периоде миграции (31-й день испытания).</w:t>
      </w:r>
    </w:p>
    <w:p w14:paraId="3218F986" w14:textId="560A1C4C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4.2.5.2. Для испытания с использованием теплой или горячей воды анализируются образцы мигрирующих вод за 1, 6 и 7-й периоды миграции. Соблюдение критериев приемлемости/неприемлемости оценивается в седьмом периоде миграции (10-й день). Если критерии приемлемости/неприемлемости, установленные в подпунктах 5.2 и 5.3, не соблюдаются в 7-м периоде миграции, испытание может быть продлено, при этом необходимо дополнительно проанализировать 12, 17 и 22-й периоды. В этом случае критерии приемлемости/неприемлемости оцениваются в 22-м периоде миграции (31-й день).</w:t>
      </w:r>
    </w:p>
    <w:p w14:paraId="642F6A42" w14:textId="78A6C3A1" w:rsidR="00F1121E" w:rsidRPr="00F1121E" w:rsidRDefault="00F1121E" w:rsidP="00F1121E">
      <w:pPr>
        <w:rPr>
          <w:rFonts w:eastAsia="Calibri"/>
          <w:iCs/>
          <w:kern w:val="2"/>
          <w:lang w:val="en-US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4.2.5.3. Для многослойных изделий всегда требуется расширенное испытание на миграцию с использованием теплой или горячей воды, чтобы убедиться, что в воде миграции появляются вещества, происходящие из разных слоев. Для обеспечения достаточной диффузии и уравновешивания вещества за пределами слоя необходимо, чтобы многослойное изделие подвергалось хранению при комнатной температуре в течение не менее 30 дней.</w:t>
      </w:r>
    </w:p>
    <w:p w14:paraId="0A0C3F99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b/>
          <w:kern w:val="2"/>
          <w14:ligatures w14:val="standardContextual"/>
        </w:rPr>
        <w:t>5.</w:t>
      </w:r>
      <w:r w:rsidRPr="00F1121E">
        <w:rPr>
          <w:rFonts w:eastAsia="Calibri"/>
          <w:kern w:val="2"/>
          <w14:ligatures w14:val="standardContextual"/>
        </w:rPr>
        <w:t> Анализ миграционных вод</w:t>
      </w:r>
    </w:p>
    <w:p w14:paraId="12F07DFE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5.1. Соответствующие вещества</w:t>
      </w:r>
    </w:p>
    <w:p w14:paraId="2F1E2F99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5.1.1. Соответствующие вещества, определенные в пункте 3.2, анализируются в мигрирующих водах (см. пункт 4.2.5).</w:t>
      </w:r>
    </w:p>
    <w:p w14:paraId="1D432779" w14:textId="5CEC8492" w:rsidR="00F1121E" w:rsidRPr="00F1121E" w:rsidRDefault="00F1121E" w:rsidP="00F1121E">
      <w:pPr>
        <w:rPr>
          <w:rFonts w:eastAsia="Calibri"/>
          <w:kern w:val="2"/>
          <w:lang w:val="en-US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5.1.2. Методы анализа соответствующих веществ в миграционных водах валидируются и документируются в соответствии с SM EN ISO/IEC 17025:2018 или другими эквивалентными стандартами, признанными на международном уровне.</w:t>
      </w:r>
    </w:p>
    <w:p w14:paraId="344E030E" w14:textId="77777777" w:rsidR="00F1121E" w:rsidRPr="00F1121E" w:rsidRDefault="00F1121E" w:rsidP="00F1121E">
      <w:pPr>
        <w:rPr>
          <w:rFonts w:eastAsia="Calibri"/>
          <w:i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5.2. </w:t>
      </w:r>
      <w:r w:rsidRPr="00F1121E">
        <w:rPr>
          <w:rFonts w:eastAsia="Calibri"/>
          <w:i/>
          <w:kern w:val="2"/>
          <w14:ligatures w14:val="standardContextual"/>
        </w:rPr>
        <w:t>Неожиданные вещества</w:t>
      </w:r>
    </w:p>
    <w:p w14:paraId="2FD80F79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5.2.1. Неожиданные вещества определяются только в миграционных водах из испытания с холодной водой.</w:t>
      </w:r>
    </w:p>
    <w:p w14:paraId="0ED65134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5.2.2. Для идентификации и полуколичественного анализа неожиданных веществ проводится скрининг GC-MS в соответствии с SM EN 15768:2017.</w:t>
      </w:r>
    </w:p>
    <w:p w14:paraId="4EF5ECDD" w14:textId="77777777" w:rsidR="00F1121E" w:rsidRPr="00F1121E" w:rsidRDefault="00F1121E" w:rsidP="00F1121E">
      <w:pPr>
        <w:rPr>
          <w:rFonts w:eastAsia="Calibri"/>
          <w:i/>
          <w:kern w:val="2"/>
          <w14:ligatures w14:val="standardContextual"/>
        </w:rPr>
      </w:pPr>
    </w:p>
    <w:p w14:paraId="4B8CC43C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5.3.</w:t>
      </w:r>
      <w:r w:rsidRPr="00F1121E">
        <w:rPr>
          <w:rFonts w:eastAsia="Calibri"/>
          <w:i/>
          <w:iCs/>
          <w:kern w:val="2"/>
          <w14:ligatures w14:val="standardContextual"/>
        </w:rPr>
        <w:t> Другие</w:t>
      </w:r>
      <w:r w:rsidRPr="00F1121E">
        <w:rPr>
          <w:rFonts w:eastAsia="Calibri"/>
          <w:iCs/>
          <w:kern w:val="2"/>
          <w14:ligatures w14:val="standardContextual"/>
        </w:rPr>
        <w:t xml:space="preserve"> </w:t>
      </w:r>
      <w:r w:rsidRPr="00F1121E">
        <w:rPr>
          <w:rFonts w:eastAsia="Calibri"/>
          <w:i/>
          <w:kern w:val="2"/>
          <w14:ligatures w14:val="standardContextual"/>
        </w:rPr>
        <w:t>соответствующие параметры</w:t>
      </w:r>
    </w:p>
    <w:p w14:paraId="7251057D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5.3.1. Другие соответствующие параметры анализируются в миграционных водах в соответствии со следующими стандартами:</w:t>
      </w:r>
    </w:p>
    <w:p w14:paraId="294C887E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5.3.1.1 содержание общего органического углерода (ООУ) определяется в соответствии с SM SR EN 1484:2012 как органический углерод, который не может быть удален;</w:t>
      </w:r>
    </w:p>
    <w:p w14:paraId="781D1BD1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5.3.1.2. запах определяется как пороговое значение запаха (TON) в соответствии с SM EN 1420:2016 и SM SR EN 1622:2011;</w:t>
      </w:r>
    </w:p>
    <w:p w14:paraId="0FC11D29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5.3.1.3. аромат определяется как пороговое значение для аромата (TFN) в соответствии с SM EN 1420:2016 и SM SR EN 1622:2011;</w:t>
      </w:r>
    </w:p>
    <w:p w14:paraId="7E8867A9" w14:textId="77777777" w:rsidR="00F1121E" w:rsidRPr="00F1121E" w:rsidRDefault="00F1121E" w:rsidP="00F1121E">
      <w:pPr>
        <w:rPr>
          <w:rFonts w:eastAsia="Calibri"/>
          <w:iCs/>
          <w:kern w:val="2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5.3.1.4. цвет определяется в соответствии с SM SR EN ISO 7887:2012 – метод C;</w:t>
      </w:r>
    </w:p>
    <w:p w14:paraId="0EC7E26F" w14:textId="30ABFB97" w:rsidR="00F1121E" w:rsidRPr="00F1121E" w:rsidRDefault="00F1121E" w:rsidP="00F1121E">
      <w:pPr>
        <w:rPr>
          <w:rFonts w:eastAsia="Calibri"/>
          <w:kern w:val="2"/>
          <w:lang w:val="en-US"/>
          <w14:ligatures w14:val="standardContextual"/>
        </w:rPr>
      </w:pPr>
      <w:r w:rsidRPr="00F1121E">
        <w:rPr>
          <w:rFonts w:eastAsia="Calibri"/>
          <w:iCs/>
          <w:kern w:val="2"/>
          <w14:ligatures w14:val="standardContextual"/>
        </w:rPr>
        <w:t>5.3.1.5. мутность определяется в соответствии с SM EN ISO 7027-1:2017 – метод C.</w:t>
      </w:r>
    </w:p>
    <w:p w14:paraId="25466B3B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b/>
          <w:kern w:val="2"/>
          <w14:ligatures w14:val="standardContextual"/>
        </w:rPr>
        <w:t>6.</w:t>
      </w:r>
      <w:r w:rsidRPr="00F1121E">
        <w:rPr>
          <w:rFonts w:eastAsia="Calibri"/>
          <w:kern w:val="2"/>
          <w14:ligatures w14:val="standardContextual"/>
        </w:rPr>
        <w:t xml:space="preserve"> Математическое моделирование </w:t>
      </w:r>
    </w:p>
    <w:p w14:paraId="198C8509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6.1. В случае наличия общепризнанных моделей диффузии, основанных на экспериментальных данных, математическое моделирование для оценки уровней миграции может использоваться в качестве альтернативы испытаниям на миграцию соответствующих веществ для определенных типов конечных органических материалов.</w:t>
      </w:r>
    </w:p>
    <w:p w14:paraId="3ED87280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6.2. В случае если эти признанные модели диффузии предусматривают, что миграция вещества соответствует максимально допустимой концентрации в кране (MTC</w:t>
      </w:r>
      <w:r w:rsidRPr="00F1121E">
        <w:rPr>
          <w:rFonts w:eastAsia="Calibri"/>
          <w:kern w:val="2"/>
          <w:vertAlign w:val="subscript"/>
          <w14:ligatures w14:val="standardContextual"/>
        </w:rPr>
        <w:t>tap</w:t>
      </w:r>
      <w:r w:rsidRPr="00F1121E">
        <w:rPr>
          <w:rFonts w:eastAsia="Calibri"/>
          <w:kern w:val="2"/>
          <w14:ligatures w14:val="standardContextual"/>
        </w:rPr>
        <w:t>), испытание на миграцию для этих веществ не требуется. Для оценки определенных параметров и для моделирования определяется содержание соответствующих веществ в конечном материале.</w:t>
      </w:r>
    </w:p>
    <w:p w14:paraId="10AD763D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lastRenderedPageBreak/>
        <w:t>6.3. В случае если соответствие не доказано с помощью моделей, проводится испытание на миграцию. Могут использоваться следующие математические методы моделирования:</w:t>
      </w:r>
    </w:p>
    <w:p w14:paraId="699DBE8D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6.3.1. моделирование миграции в соответствии с SM CEN/TR 16364:2019 или другими эквивалентными стандартами, принятыми на международном уровне, с имитацией испытания на миграцию в соответствии с SM EN 12873-1:2015 и SM EN 12873-2:2022;</w:t>
      </w:r>
    </w:p>
    <w:p w14:paraId="2819B9D8" w14:textId="4FF9CC97" w:rsidR="00F1121E" w:rsidRPr="00F1121E" w:rsidRDefault="00F1121E" w:rsidP="00F1121E">
      <w:pPr>
        <w:rPr>
          <w:rFonts w:eastAsia="Calibri"/>
          <w:kern w:val="2"/>
          <w:lang w:val="en-US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6.3.2. расчет полного переноса, имитирующий полный перенос веществ из изделия в миграционную воду.</w:t>
      </w:r>
    </w:p>
    <w:p w14:paraId="7DFB67E9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b/>
          <w:kern w:val="2"/>
          <w14:ligatures w14:val="standardContextual"/>
        </w:rPr>
        <w:t>7.</w:t>
      </w:r>
      <w:r w:rsidRPr="00F1121E">
        <w:rPr>
          <w:rFonts w:eastAsia="Calibri"/>
          <w:kern w:val="2"/>
          <w14:ligatures w14:val="standardContextual"/>
        </w:rPr>
        <w:t> Испытания на стимулирование роста микроорганизмов (СРМ)</w:t>
      </w:r>
    </w:p>
    <w:p w14:paraId="7513EAEC" w14:textId="2FB50E7E" w:rsidR="00F1121E" w:rsidRPr="00F1121E" w:rsidRDefault="00F1121E" w:rsidP="00F1121E">
      <w:pPr>
        <w:rPr>
          <w:rFonts w:eastAsia="Calibri"/>
          <w:kern w:val="2"/>
          <w:lang w:val="en-US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Для тестирования СРМ используется стандарт SM EN 16421:2017 – метод 1 или 2.</w:t>
      </w:r>
    </w:p>
    <w:p w14:paraId="1828474A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b/>
          <w:kern w:val="2"/>
          <w14:ligatures w14:val="standardContextual"/>
        </w:rPr>
        <w:t>8</w:t>
      </w:r>
      <w:r w:rsidRPr="00F1121E">
        <w:rPr>
          <w:rFonts w:eastAsia="Calibri"/>
          <w:kern w:val="2"/>
          <w14:ligatures w14:val="standardContextual"/>
        </w:rPr>
        <w:t>. Тестирование остаточного содержания веществ (QM/QMA)</w:t>
      </w:r>
    </w:p>
    <w:p w14:paraId="5C43968E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В случае исходных веществ, на которые распространяется ограничение по максимальному количеству (QM или QMA), предусмотренное в перечне исходных веществ для органических материалов, утвержденном в соответствии с пунктом 6 Регламента, анализируется их остаточное содержание в изделии.</w:t>
      </w:r>
    </w:p>
    <w:p w14:paraId="27F3BA07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</w:p>
    <w:p w14:paraId="0FC809A5" w14:textId="2B171609" w:rsidR="00F1121E" w:rsidRPr="00F1121E" w:rsidRDefault="00F1121E" w:rsidP="00F1121E">
      <w:pPr>
        <w:ind w:firstLine="0"/>
        <w:jc w:val="center"/>
        <w:rPr>
          <w:rFonts w:eastAsia="Calibri"/>
          <w:b/>
          <w:kern w:val="2"/>
          <w:lang w:val="en-US"/>
          <w14:ligatures w14:val="standardContextual"/>
        </w:rPr>
      </w:pPr>
      <w:r w:rsidRPr="00F1121E">
        <w:rPr>
          <w:rFonts w:eastAsia="Calibri"/>
          <w:b/>
          <w:kern w:val="2"/>
          <w14:ligatures w14:val="standardContextual"/>
        </w:rPr>
        <w:t>Требования к приемке: критерии приемки/отклонения</w:t>
      </w:r>
    </w:p>
    <w:p w14:paraId="0826B8B7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b/>
          <w:kern w:val="2"/>
          <w14:ligatures w14:val="standardContextual"/>
        </w:rPr>
        <w:t>9.</w:t>
      </w:r>
      <w:r w:rsidRPr="00F1121E">
        <w:rPr>
          <w:rFonts w:eastAsia="Calibri"/>
          <w:kern w:val="2"/>
          <w14:ligatures w14:val="standardContextual"/>
        </w:rPr>
        <w:t> Рецептура</w:t>
      </w:r>
    </w:p>
    <w:p w14:paraId="5088F9AE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9.1.1. Исходные вещества в рецептурах, перечисленные в перечне исходных веществ для органических материалов, утвержденном в соответствии с пунктом 6</w:t>
      </w:r>
      <w:r w:rsidRPr="00F1121E">
        <w:rPr>
          <w:rFonts w:ascii="Calibri" w:eastAsia="Calibri" w:hAnsi="Calibri" w:cs="Arial"/>
          <w:kern w:val="2"/>
          <w14:ligatures w14:val="standardContextual"/>
        </w:rPr>
        <w:t xml:space="preserve"> </w:t>
      </w:r>
      <w:r w:rsidRPr="00F1121E">
        <w:rPr>
          <w:rFonts w:eastAsia="Calibri"/>
          <w:iCs/>
          <w:kern w:val="2"/>
          <w14:ligatures w14:val="standardContextual"/>
        </w:rPr>
        <w:t>Регламента</w:t>
      </w:r>
      <w:r w:rsidRPr="00F1121E">
        <w:rPr>
          <w:rFonts w:eastAsia="Calibri"/>
          <w:kern w:val="2"/>
          <w14:ligatures w14:val="standardContextual"/>
        </w:rPr>
        <w:t>, используются в соответствии с технической функцией, указанной в перечне исходных веществ для органических материалов;</w:t>
      </w:r>
    </w:p>
    <w:p w14:paraId="618DA0B8" w14:textId="50DF8C52" w:rsidR="00F1121E" w:rsidRPr="00F1121E" w:rsidRDefault="00F1121E" w:rsidP="00F1121E">
      <w:pPr>
        <w:rPr>
          <w:rFonts w:eastAsia="Calibri"/>
          <w:kern w:val="2"/>
          <w:lang w:val="en-US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9.1.2. используются в соответствии с условиями использования, установленными в перечне исходных веществ для органических материалов.</w:t>
      </w:r>
    </w:p>
    <w:p w14:paraId="115BB00D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b/>
          <w:bCs/>
          <w:kern w:val="2"/>
          <w14:ligatures w14:val="standardContextual"/>
        </w:rPr>
        <w:t>10.</w:t>
      </w:r>
      <w:r w:rsidRPr="00F1121E">
        <w:rPr>
          <w:rFonts w:eastAsia="Calibri"/>
          <w:kern w:val="2"/>
          <w14:ligatures w14:val="standardContextual"/>
        </w:rPr>
        <w:t> Соответствующие вещества, неожиданные вещества, ООУ</w:t>
      </w:r>
    </w:p>
    <w:p w14:paraId="057DAA35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10.1. </w:t>
      </w:r>
      <w:r w:rsidRPr="00F1121E">
        <w:rPr>
          <w:rFonts w:eastAsia="Calibri"/>
          <w:i/>
          <w:iCs/>
          <w:kern w:val="2"/>
          <w14:ligatures w14:val="standardContextual"/>
        </w:rPr>
        <w:t>Преобразование результатов испытаний</w:t>
      </w:r>
    </w:p>
    <w:p w14:paraId="40F771AB" w14:textId="77777777" w:rsidR="00F1121E" w:rsidRPr="00F1121E" w:rsidRDefault="00F1121E" w:rsidP="00F1121E">
      <w:pPr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10.1.1. В соответствии со стандартами SM EN 12873-1:2015 и SM EN 12873-2:2022 по миграции результаты испытаний выражаются в виде коэффициентов миграции (M) в мг/(дм</w:t>
      </w:r>
      <w:r w:rsidRPr="00F1121E">
        <w:rPr>
          <w:rFonts w:eastAsia="Calibri"/>
          <w:kern w:val="2"/>
          <w:vertAlign w:val="superscript"/>
          <w14:ligatures w14:val="standardContextual"/>
        </w:rPr>
        <w:t>2</w:t>
      </w:r>
      <w:r w:rsidRPr="00F1121E">
        <w:rPr>
          <w:rFonts w:eastAsia="Calibri"/>
          <w:kern w:val="2"/>
          <w14:ligatures w14:val="standardContextual"/>
        </w:rPr>
        <w:t>.д). Эти результаты преобразуются для оценки концентраций в водопроводной воде (C</w:t>
      </w:r>
      <w:r w:rsidRPr="00F1121E">
        <w:rPr>
          <w:rFonts w:eastAsia="Calibri"/>
          <w:kern w:val="2"/>
          <w:vertAlign w:val="subscript"/>
          <w14:ligatures w14:val="standardContextual"/>
        </w:rPr>
        <w:t>tap</w:t>
      </w:r>
      <w:r w:rsidRPr="00F1121E">
        <w:rPr>
          <w:rFonts w:eastAsia="Calibri"/>
          <w:kern w:val="2"/>
          <w14:ligatures w14:val="standardContextual"/>
        </w:rPr>
        <w:t>), определяемых как C</w:t>
      </w:r>
      <w:r w:rsidRPr="00F1121E">
        <w:rPr>
          <w:rFonts w:eastAsia="Calibri"/>
          <w:kern w:val="2"/>
          <w:vertAlign w:val="subscript"/>
          <w14:ligatures w14:val="standardContextual"/>
        </w:rPr>
        <w:t>tap</w:t>
      </w:r>
      <w:r w:rsidRPr="00F1121E">
        <w:rPr>
          <w:rFonts w:eastAsia="Calibri"/>
          <w:kern w:val="2"/>
          <w14:ligatures w14:val="standardContextual"/>
        </w:rPr>
        <w:t xml:space="preserve"> = M * КП, где КП – соответствующий </w:t>
      </w:r>
      <w:r w:rsidRPr="00F1121E">
        <w:rPr>
          <w:rFonts w:eastAsia="SimSun"/>
          <w:w w:val="90"/>
          <w:kern w:val="2"/>
          <w14:ligatures w14:val="standardContextual"/>
        </w:rPr>
        <w:t xml:space="preserve">коэффициент преобразования </w:t>
      </w:r>
      <w:r w:rsidRPr="00F1121E">
        <w:rPr>
          <w:rFonts w:eastAsia="Calibri"/>
          <w:kern w:val="2"/>
          <w14:ligatures w14:val="standardContextual"/>
        </w:rPr>
        <w:t>в д/дм.</w:t>
      </w:r>
    </w:p>
    <w:p w14:paraId="2F99A8BC" w14:textId="1FF31198" w:rsidR="00F1121E" w:rsidRPr="00F1121E" w:rsidRDefault="00F1121E" w:rsidP="00F1121E">
      <w:pPr>
        <w:rPr>
          <w:rFonts w:eastAsia="Calibri"/>
          <w:kern w:val="2"/>
          <w:lang w:val="en-US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10.1.2. </w:t>
      </w:r>
      <w:r w:rsidRPr="00F1121E">
        <w:rPr>
          <w:rFonts w:eastAsia="SimSun"/>
          <w:w w:val="90"/>
          <w:kern w:val="2"/>
          <w14:ligatures w14:val="standardContextual"/>
        </w:rPr>
        <w:t xml:space="preserve">Коэффициент преобразования </w:t>
      </w:r>
      <w:r w:rsidRPr="00F1121E">
        <w:rPr>
          <w:rFonts w:eastAsia="Calibri"/>
          <w:kern w:val="2"/>
          <w14:ligatures w14:val="standardContextual"/>
        </w:rPr>
        <w:t>для различных групп изделий приведены в таблице 5.</w:t>
      </w:r>
    </w:p>
    <w:p w14:paraId="39421E1C" w14:textId="74DF5A13" w:rsidR="00F1121E" w:rsidRPr="00F1121E" w:rsidRDefault="00F1121E" w:rsidP="00F1121E">
      <w:pPr>
        <w:widowControl w:val="0"/>
        <w:tabs>
          <w:tab w:val="left" w:pos="709"/>
        </w:tabs>
        <w:suppressAutoHyphens/>
        <w:kinsoku w:val="0"/>
        <w:overflowPunct w:val="0"/>
        <w:ind w:right="57"/>
        <w:jc w:val="right"/>
        <w:rPr>
          <w:iCs/>
          <w:w w:val="90"/>
        </w:rPr>
      </w:pPr>
      <w:r w:rsidRPr="00F1121E">
        <w:rPr>
          <w:rFonts w:cstheme="majorBidi"/>
          <w:iCs/>
        </w:rPr>
        <w:t>Таблица</w:t>
      </w:r>
      <w:r w:rsidRPr="00F1121E">
        <w:rPr>
          <w:iCs/>
          <w:spacing w:val="-8"/>
          <w:w w:val="90"/>
        </w:rPr>
        <w:t xml:space="preserve"> </w:t>
      </w:r>
      <w:r w:rsidRPr="00F1121E">
        <w:rPr>
          <w:iCs/>
          <w:w w:val="90"/>
        </w:rPr>
        <w:t>5</w:t>
      </w:r>
    </w:p>
    <w:p w14:paraId="3889F65C" w14:textId="77777777" w:rsidR="00F1121E" w:rsidRPr="00F1121E" w:rsidRDefault="00F1121E" w:rsidP="00F1121E">
      <w:pPr>
        <w:widowControl w:val="0"/>
        <w:tabs>
          <w:tab w:val="left" w:pos="709"/>
        </w:tabs>
        <w:suppressAutoHyphens/>
        <w:kinsoku w:val="0"/>
        <w:overflowPunct w:val="0"/>
        <w:ind w:right="57"/>
        <w:jc w:val="right"/>
        <w:rPr>
          <w:i/>
        </w:rPr>
      </w:pPr>
    </w:p>
    <w:p w14:paraId="1FBCE743" w14:textId="77777777" w:rsidR="00F1121E" w:rsidRPr="00F1121E" w:rsidRDefault="00F1121E" w:rsidP="00F1121E">
      <w:pPr>
        <w:widowControl w:val="0"/>
        <w:tabs>
          <w:tab w:val="left" w:pos="709"/>
        </w:tabs>
        <w:kinsoku w:val="0"/>
        <w:overflowPunct w:val="0"/>
        <w:autoSpaceDE w:val="0"/>
        <w:autoSpaceDN w:val="0"/>
        <w:adjustRightInd w:val="0"/>
        <w:ind w:right="57" w:firstLine="0"/>
        <w:jc w:val="center"/>
        <w:outlineLvl w:val="0"/>
        <w:rPr>
          <w:rFonts w:eastAsia="SimSun"/>
          <w:b/>
          <w:bCs/>
          <w:w w:val="90"/>
        </w:rPr>
      </w:pPr>
      <w:r w:rsidRPr="00F1121E">
        <w:rPr>
          <w:rFonts w:eastAsia="SimSun"/>
          <w:b/>
          <w:bCs/>
          <w:w w:val="90"/>
        </w:rPr>
        <w:t xml:space="preserve">Группы изделий и их коэффициенты преобразования </w:t>
      </w:r>
    </w:p>
    <w:p w14:paraId="2D00C5E4" w14:textId="77777777" w:rsidR="00F1121E" w:rsidRPr="00F1121E" w:rsidRDefault="00F1121E" w:rsidP="00F1121E">
      <w:pPr>
        <w:widowControl w:val="0"/>
        <w:tabs>
          <w:tab w:val="left" w:pos="709"/>
        </w:tabs>
        <w:kinsoku w:val="0"/>
        <w:overflowPunct w:val="0"/>
        <w:autoSpaceDE w:val="0"/>
        <w:autoSpaceDN w:val="0"/>
        <w:adjustRightInd w:val="0"/>
        <w:ind w:right="57"/>
        <w:jc w:val="center"/>
        <w:outlineLvl w:val="0"/>
        <w:rPr>
          <w:rFonts w:eastAsia="SimSun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"/>
        <w:gridCol w:w="6764"/>
        <w:gridCol w:w="1276"/>
      </w:tblGrid>
      <w:tr w:rsidR="00F1121E" w:rsidRPr="00F1121E" w14:paraId="2B005E5B" w14:textId="77777777" w:rsidTr="000E6E1F">
        <w:trPr>
          <w:trHeight w:hRule="exact" w:val="983"/>
        </w:trPr>
        <w:tc>
          <w:tcPr>
            <w:tcW w:w="7796" w:type="dxa"/>
            <w:gridSpan w:val="2"/>
            <w:shd w:val="clear" w:color="auto" w:fill="FFFFFF"/>
          </w:tcPr>
          <w:p w14:paraId="11B4796C" w14:textId="77777777" w:rsidR="00F1121E" w:rsidRPr="00F1121E" w:rsidRDefault="00F1121E" w:rsidP="000E6E1F">
            <w:pPr>
              <w:widowControl w:val="0"/>
              <w:suppressAutoHyphens/>
              <w:ind w:right="57"/>
              <w:jc w:val="center"/>
            </w:pPr>
            <w:r w:rsidRPr="00F1121E">
              <w:rPr>
                <w:b/>
                <w:bCs/>
              </w:rPr>
              <w:t>Группа изделий</w:t>
            </w:r>
          </w:p>
        </w:tc>
        <w:tc>
          <w:tcPr>
            <w:tcW w:w="1276" w:type="dxa"/>
            <w:shd w:val="clear" w:color="auto" w:fill="FFFFFF"/>
          </w:tcPr>
          <w:p w14:paraId="53A2E38C" w14:textId="77777777" w:rsidR="00F1121E" w:rsidRPr="00F1121E" w:rsidRDefault="00F1121E" w:rsidP="000E6E1F">
            <w:pPr>
              <w:widowControl w:val="0"/>
              <w:suppressAutoHyphens/>
              <w:ind w:right="57" w:firstLine="3"/>
              <w:jc w:val="center"/>
            </w:pPr>
            <w:r w:rsidRPr="00F1121E">
              <w:rPr>
                <w:b/>
                <w:bCs/>
              </w:rPr>
              <w:t>Коэффициент преобразования (в д/дм)</w:t>
            </w:r>
          </w:p>
        </w:tc>
      </w:tr>
      <w:tr w:rsidR="00F1121E" w:rsidRPr="00F1121E" w14:paraId="64589BB6" w14:textId="77777777" w:rsidTr="000E6E1F">
        <w:trPr>
          <w:trHeight w:hRule="exact" w:val="393"/>
        </w:trPr>
        <w:tc>
          <w:tcPr>
            <w:tcW w:w="9072" w:type="dxa"/>
            <w:gridSpan w:val="3"/>
            <w:shd w:val="clear" w:color="auto" w:fill="FFFFFF"/>
          </w:tcPr>
          <w:p w14:paraId="4830A37F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rPr>
                <w:b/>
                <w:bCs/>
              </w:rPr>
              <w:t>A.</w:t>
            </w:r>
            <w:r w:rsidRPr="00F1121E">
              <w:t xml:space="preserve"> </w:t>
            </w:r>
            <w:r w:rsidRPr="00F1121E">
              <w:rPr>
                <w:b/>
                <w:bCs/>
              </w:rPr>
              <w:t>Трубы и облицовка труб</w:t>
            </w:r>
          </w:p>
          <w:p w14:paraId="0CFD2232" w14:textId="77777777" w:rsidR="00F1121E" w:rsidRPr="00F1121E" w:rsidRDefault="00F1121E" w:rsidP="000E6E1F">
            <w:pPr>
              <w:widowControl w:val="0"/>
              <w:suppressAutoHyphens/>
              <w:ind w:right="57"/>
              <w:jc w:val="center"/>
            </w:pPr>
          </w:p>
          <w:p w14:paraId="66159095" w14:textId="77777777" w:rsidR="00F1121E" w:rsidRPr="00F1121E" w:rsidRDefault="00F1121E" w:rsidP="000E6E1F">
            <w:pPr>
              <w:widowControl w:val="0"/>
              <w:suppressAutoHyphens/>
              <w:ind w:right="57"/>
              <w:jc w:val="center"/>
            </w:pPr>
            <w:bookmarkStart w:id="11" w:name="bookmark16"/>
            <w:bookmarkEnd w:id="11"/>
          </w:p>
        </w:tc>
      </w:tr>
      <w:tr w:rsidR="00F1121E" w:rsidRPr="00F1121E" w14:paraId="69AFEBA8" w14:textId="77777777" w:rsidTr="000E6E1F">
        <w:trPr>
          <w:trHeight w:hRule="exact" w:val="286"/>
        </w:trPr>
        <w:tc>
          <w:tcPr>
            <w:tcW w:w="1032" w:type="dxa"/>
            <w:shd w:val="clear" w:color="auto" w:fill="FFFFFF"/>
          </w:tcPr>
          <w:p w14:paraId="365A916D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1.</w:t>
            </w:r>
          </w:p>
        </w:tc>
        <w:tc>
          <w:tcPr>
            <w:tcW w:w="6764" w:type="dxa"/>
            <w:shd w:val="clear" w:color="auto" w:fill="FFFFFF"/>
          </w:tcPr>
          <w:p w14:paraId="4B89C32F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rPr>
                <w:vertAlign w:val="superscript"/>
              </w:rPr>
            </w:pPr>
            <w:r w:rsidRPr="00F1121E">
              <w:t xml:space="preserve">ВД &lt; 80 мм (бытовые установки, здания) </w:t>
            </w:r>
            <w:r w:rsidRPr="00F1121E">
              <w:rPr>
                <w:vertAlign w:val="superscript"/>
              </w:rPr>
              <w:t>(1)</w:t>
            </w:r>
          </w:p>
        </w:tc>
        <w:tc>
          <w:tcPr>
            <w:tcW w:w="1276" w:type="dxa"/>
            <w:shd w:val="clear" w:color="auto" w:fill="FFFFFF"/>
          </w:tcPr>
          <w:p w14:paraId="7F11D1F0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20</w:t>
            </w:r>
          </w:p>
        </w:tc>
      </w:tr>
      <w:tr w:rsidR="00F1121E" w:rsidRPr="00F1121E" w14:paraId="4F439B21" w14:textId="77777777" w:rsidTr="000E6E1F">
        <w:trPr>
          <w:trHeight w:hRule="exact" w:val="275"/>
        </w:trPr>
        <w:tc>
          <w:tcPr>
            <w:tcW w:w="1032" w:type="dxa"/>
            <w:shd w:val="clear" w:color="auto" w:fill="FFFFFF"/>
          </w:tcPr>
          <w:p w14:paraId="1CF07575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2.</w:t>
            </w:r>
          </w:p>
        </w:tc>
        <w:tc>
          <w:tcPr>
            <w:tcW w:w="6764" w:type="dxa"/>
            <w:shd w:val="clear" w:color="auto" w:fill="FFFFFF"/>
          </w:tcPr>
          <w:p w14:paraId="4FD6D2C8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80 мм ≤ ID &lt; 300 мм ( соединительные детали)</w:t>
            </w:r>
          </w:p>
        </w:tc>
        <w:tc>
          <w:tcPr>
            <w:tcW w:w="1276" w:type="dxa"/>
            <w:shd w:val="clear" w:color="auto" w:fill="FFFFFF"/>
          </w:tcPr>
          <w:p w14:paraId="7F613538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10</w:t>
            </w:r>
          </w:p>
        </w:tc>
      </w:tr>
      <w:tr w:rsidR="00F1121E" w:rsidRPr="00F1121E" w14:paraId="0C5A9973" w14:textId="77777777" w:rsidTr="000E6E1F">
        <w:trPr>
          <w:trHeight w:hRule="exact" w:val="294"/>
        </w:trPr>
        <w:tc>
          <w:tcPr>
            <w:tcW w:w="1032" w:type="dxa"/>
            <w:shd w:val="clear" w:color="auto" w:fill="FFFFFF"/>
          </w:tcPr>
          <w:p w14:paraId="6FA32F81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3.</w:t>
            </w:r>
          </w:p>
        </w:tc>
        <w:tc>
          <w:tcPr>
            <w:tcW w:w="6764" w:type="dxa"/>
            <w:shd w:val="clear" w:color="auto" w:fill="FFFFFF"/>
          </w:tcPr>
          <w:p w14:paraId="626264FE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ID ≥ 300 мм (магистральные трубы)</w:t>
            </w:r>
          </w:p>
        </w:tc>
        <w:tc>
          <w:tcPr>
            <w:tcW w:w="1276" w:type="dxa"/>
            <w:shd w:val="clear" w:color="auto" w:fill="FFFFFF"/>
          </w:tcPr>
          <w:p w14:paraId="73C94B4C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5</w:t>
            </w:r>
          </w:p>
        </w:tc>
      </w:tr>
      <w:tr w:rsidR="00F1121E" w:rsidRPr="00F1121E" w14:paraId="39E461CB" w14:textId="77777777" w:rsidTr="000E6E1F">
        <w:trPr>
          <w:trHeight w:hRule="exact" w:val="416"/>
        </w:trPr>
        <w:tc>
          <w:tcPr>
            <w:tcW w:w="9072" w:type="dxa"/>
            <w:gridSpan w:val="3"/>
            <w:shd w:val="clear" w:color="auto" w:fill="FFFFFF"/>
          </w:tcPr>
          <w:p w14:paraId="0ABD878E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left"/>
            </w:pPr>
            <w:r w:rsidRPr="00F1121E">
              <w:rPr>
                <w:b/>
                <w:bCs/>
              </w:rPr>
              <w:t>B</w:t>
            </w:r>
            <w:bookmarkStart w:id="12" w:name="bookmark17"/>
            <w:bookmarkEnd w:id="12"/>
            <w:r w:rsidRPr="00F1121E">
              <w:rPr>
                <w:b/>
                <w:bCs/>
              </w:rPr>
              <w:t>.</w:t>
            </w:r>
            <w:r w:rsidRPr="00F1121E">
              <w:t xml:space="preserve"> </w:t>
            </w:r>
            <w:r w:rsidRPr="00F1121E">
              <w:rPr>
                <w:b/>
                <w:bCs/>
              </w:rPr>
              <w:t>Принадлежности, вспомогательное оборудование</w:t>
            </w:r>
            <w:bookmarkStart w:id="13" w:name="_Hlk182211822"/>
            <w:r w:rsidRPr="00F1121E">
              <w:rPr>
                <w:rFonts w:eastAsia="SimSun"/>
                <w:b/>
                <w:bCs/>
              </w:rPr>
              <w:t xml:space="preserve"> ⁽²⁾</w:t>
            </w:r>
            <w:bookmarkEnd w:id="13"/>
          </w:p>
          <w:p w14:paraId="2405FD99" w14:textId="77777777" w:rsidR="00F1121E" w:rsidRPr="00F1121E" w:rsidRDefault="00F1121E" w:rsidP="000E6E1F">
            <w:pPr>
              <w:widowControl w:val="0"/>
              <w:suppressAutoHyphens/>
              <w:ind w:right="57"/>
              <w:jc w:val="left"/>
            </w:pPr>
          </w:p>
          <w:p w14:paraId="14DE941A" w14:textId="77777777" w:rsidR="00F1121E" w:rsidRPr="00F1121E" w:rsidRDefault="00F1121E" w:rsidP="000E6E1F">
            <w:pPr>
              <w:widowControl w:val="0"/>
              <w:suppressAutoHyphens/>
              <w:ind w:right="57"/>
              <w:jc w:val="left"/>
            </w:pPr>
          </w:p>
        </w:tc>
      </w:tr>
      <w:tr w:rsidR="00F1121E" w:rsidRPr="00F1121E" w14:paraId="277DCE5B" w14:textId="77777777" w:rsidTr="000E6E1F">
        <w:trPr>
          <w:trHeight w:hRule="exact" w:val="290"/>
        </w:trPr>
        <w:tc>
          <w:tcPr>
            <w:tcW w:w="1032" w:type="dxa"/>
            <w:shd w:val="clear" w:color="auto" w:fill="FFFFFF"/>
          </w:tcPr>
          <w:p w14:paraId="09887301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1.</w:t>
            </w:r>
          </w:p>
        </w:tc>
        <w:tc>
          <w:tcPr>
            <w:tcW w:w="6764" w:type="dxa"/>
            <w:shd w:val="clear" w:color="auto" w:fill="FFFFFF"/>
          </w:tcPr>
          <w:p w14:paraId="52B0A110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ВД &lt; 80 мм (бытовые установки, здания)</w:t>
            </w:r>
          </w:p>
        </w:tc>
        <w:tc>
          <w:tcPr>
            <w:tcW w:w="1276" w:type="dxa"/>
            <w:shd w:val="clear" w:color="auto" w:fill="FFFFFF"/>
          </w:tcPr>
          <w:p w14:paraId="5D1FC963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</w:t>
            </w:r>
          </w:p>
        </w:tc>
      </w:tr>
      <w:tr w:rsidR="00F1121E" w:rsidRPr="00F1121E" w14:paraId="16B2ADC8" w14:textId="77777777" w:rsidTr="000E6E1F">
        <w:trPr>
          <w:trHeight w:hRule="exact" w:val="280"/>
        </w:trPr>
        <w:tc>
          <w:tcPr>
            <w:tcW w:w="1032" w:type="dxa"/>
            <w:shd w:val="clear" w:color="auto" w:fill="FFFFFF"/>
          </w:tcPr>
          <w:p w14:paraId="20624869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2.</w:t>
            </w:r>
          </w:p>
        </w:tc>
        <w:tc>
          <w:tcPr>
            <w:tcW w:w="6764" w:type="dxa"/>
            <w:shd w:val="clear" w:color="auto" w:fill="FFFFFF"/>
          </w:tcPr>
          <w:p w14:paraId="7580A554" w14:textId="77777777" w:rsidR="00F1121E" w:rsidRPr="00F1121E" w:rsidRDefault="00F1121E" w:rsidP="000E6E1F">
            <w:pPr>
              <w:widowControl w:val="0"/>
              <w:suppressAutoHyphens/>
              <w:ind w:right="57"/>
            </w:pPr>
            <w:r w:rsidRPr="00F1121E">
              <w:t>80 мм ≤ ID &lt; 300 мм ( соединительные детали)</w:t>
            </w:r>
          </w:p>
        </w:tc>
        <w:tc>
          <w:tcPr>
            <w:tcW w:w="1276" w:type="dxa"/>
            <w:shd w:val="clear" w:color="auto" w:fill="FFFFFF"/>
          </w:tcPr>
          <w:p w14:paraId="635388C4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1</w:t>
            </w:r>
          </w:p>
        </w:tc>
      </w:tr>
      <w:tr w:rsidR="00F1121E" w:rsidRPr="00F1121E" w14:paraId="1CA43A69" w14:textId="77777777" w:rsidTr="000E6E1F">
        <w:trPr>
          <w:trHeight w:hRule="exact" w:val="297"/>
        </w:trPr>
        <w:tc>
          <w:tcPr>
            <w:tcW w:w="1032" w:type="dxa"/>
            <w:shd w:val="clear" w:color="auto" w:fill="FFFFFF"/>
          </w:tcPr>
          <w:p w14:paraId="5FC19EAE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3.</w:t>
            </w:r>
          </w:p>
        </w:tc>
        <w:tc>
          <w:tcPr>
            <w:tcW w:w="6764" w:type="dxa"/>
            <w:shd w:val="clear" w:color="auto" w:fill="FFFFFF"/>
          </w:tcPr>
          <w:p w14:paraId="21F16EED" w14:textId="77777777" w:rsidR="00F1121E" w:rsidRPr="00F1121E" w:rsidRDefault="00F1121E" w:rsidP="000E6E1F">
            <w:pPr>
              <w:widowControl w:val="0"/>
              <w:suppressAutoHyphens/>
              <w:ind w:right="57"/>
            </w:pPr>
            <w:r w:rsidRPr="00F1121E">
              <w:t>ID ≥ 300 мм (магистральные трубы)</w:t>
            </w:r>
          </w:p>
        </w:tc>
        <w:tc>
          <w:tcPr>
            <w:tcW w:w="1276" w:type="dxa"/>
            <w:shd w:val="clear" w:color="auto" w:fill="FFFFFF"/>
          </w:tcPr>
          <w:p w14:paraId="46393B49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0,5</w:t>
            </w:r>
          </w:p>
        </w:tc>
      </w:tr>
      <w:tr w:rsidR="00F1121E" w:rsidRPr="00F1121E" w14:paraId="6BC6EDF9" w14:textId="77777777" w:rsidTr="000E6E1F">
        <w:trPr>
          <w:trHeight w:hRule="exact" w:val="448"/>
        </w:trPr>
        <w:tc>
          <w:tcPr>
            <w:tcW w:w="9072" w:type="dxa"/>
            <w:gridSpan w:val="3"/>
            <w:shd w:val="clear" w:color="auto" w:fill="FFFFFF"/>
          </w:tcPr>
          <w:p w14:paraId="63618E48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left"/>
            </w:pPr>
            <w:r w:rsidRPr="00F1121E">
              <w:rPr>
                <w:b/>
                <w:bCs/>
              </w:rPr>
              <w:t>C.</w:t>
            </w:r>
            <w:r w:rsidRPr="00F1121E">
              <w:t xml:space="preserve"> </w:t>
            </w:r>
            <w:r w:rsidRPr="00F1121E">
              <w:rPr>
                <w:b/>
                <w:bCs/>
              </w:rPr>
              <w:t xml:space="preserve">Детали соединительных и вспомогательных элементов </w:t>
            </w:r>
            <w:bookmarkStart w:id="14" w:name="_Hlk182211853"/>
            <w:r w:rsidRPr="00F1121E">
              <w:rPr>
                <w:rFonts w:eastAsia="SimSun"/>
                <w:b/>
                <w:bCs/>
              </w:rPr>
              <w:t>⁽³⁾</w:t>
            </w:r>
            <w:bookmarkEnd w:id="14"/>
          </w:p>
          <w:p w14:paraId="309C4C94" w14:textId="77777777" w:rsidR="00F1121E" w:rsidRPr="00F1121E" w:rsidRDefault="00F1121E" w:rsidP="000E6E1F">
            <w:pPr>
              <w:widowControl w:val="0"/>
              <w:suppressAutoHyphens/>
              <w:ind w:right="57"/>
              <w:jc w:val="left"/>
            </w:pPr>
          </w:p>
          <w:p w14:paraId="77329D3C" w14:textId="77777777" w:rsidR="00F1121E" w:rsidRPr="00F1121E" w:rsidRDefault="00F1121E" w:rsidP="000E6E1F">
            <w:pPr>
              <w:widowControl w:val="0"/>
              <w:suppressAutoHyphens/>
              <w:ind w:right="57"/>
              <w:jc w:val="left"/>
            </w:pPr>
          </w:p>
        </w:tc>
      </w:tr>
      <w:tr w:rsidR="00F1121E" w:rsidRPr="00F1121E" w14:paraId="5D5BC28C" w14:textId="77777777" w:rsidTr="000E6E1F">
        <w:trPr>
          <w:trHeight w:hRule="exact" w:val="378"/>
        </w:trPr>
        <w:tc>
          <w:tcPr>
            <w:tcW w:w="1032" w:type="dxa"/>
            <w:shd w:val="clear" w:color="auto" w:fill="FFFFFF"/>
          </w:tcPr>
          <w:p w14:paraId="49A447F1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1.</w:t>
            </w:r>
          </w:p>
        </w:tc>
        <w:tc>
          <w:tcPr>
            <w:tcW w:w="6764" w:type="dxa"/>
            <w:shd w:val="clear" w:color="auto" w:fill="FFFFFF"/>
          </w:tcPr>
          <w:p w14:paraId="3E68C457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ВД &lt; 80 мм (бытовые установки, здания)</w:t>
            </w:r>
          </w:p>
        </w:tc>
        <w:tc>
          <w:tcPr>
            <w:tcW w:w="1276" w:type="dxa"/>
            <w:shd w:val="clear" w:color="auto" w:fill="FFFFFF"/>
          </w:tcPr>
          <w:p w14:paraId="544104A3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0,2</w:t>
            </w:r>
          </w:p>
        </w:tc>
      </w:tr>
      <w:tr w:rsidR="00F1121E" w:rsidRPr="00F1121E" w14:paraId="100EC808" w14:textId="77777777" w:rsidTr="000E6E1F">
        <w:trPr>
          <w:trHeight w:hRule="exact" w:val="306"/>
        </w:trPr>
        <w:tc>
          <w:tcPr>
            <w:tcW w:w="1032" w:type="dxa"/>
            <w:shd w:val="clear" w:color="auto" w:fill="FFFFFF"/>
          </w:tcPr>
          <w:p w14:paraId="24434CD4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2.</w:t>
            </w:r>
          </w:p>
        </w:tc>
        <w:tc>
          <w:tcPr>
            <w:tcW w:w="6764" w:type="dxa"/>
            <w:shd w:val="clear" w:color="auto" w:fill="FFFFFF"/>
          </w:tcPr>
          <w:p w14:paraId="44E71DEF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80 мм ≤ ID &lt; 300 мм ( соединительные детали)</w:t>
            </w:r>
          </w:p>
        </w:tc>
        <w:tc>
          <w:tcPr>
            <w:tcW w:w="1276" w:type="dxa"/>
            <w:shd w:val="clear" w:color="auto" w:fill="FFFFFF"/>
          </w:tcPr>
          <w:p w14:paraId="71742726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0,1</w:t>
            </w:r>
          </w:p>
        </w:tc>
      </w:tr>
      <w:tr w:rsidR="00F1121E" w:rsidRPr="00F1121E" w14:paraId="4C034C37" w14:textId="77777777" w:rsidTr="000E6E1F">
        <w:trPr>
          <w:trHeight w:hRule="exact" w:val="268"/>
        </w:trPr>
        <w:tc>
          <w:tcPr>
            <w:tcW w:w="1032" w:type="dxa"/>
            <w:shd w:val="clear" w:color="auto" w:fill="FFFFFF"/>
          </w:tcPr>
          <w:p w14:paraId="221C8BB0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3.</w:t>
            </w:r>
          </w:p>
        </w:tc>
        <w:tc>
          <w:tcPr>
            <w:tcW w:w="6764" w:type="dxa"/>
            <w:shd w:val="clear" w:color="auto" w:fill="FFFFFF"/>
          </w:tcPr>
          <w:p w14:paraId="3C279BEE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ID ≥ 300 мм (магистральные трубы)</w:t>
            </w:r>
          </w:p>
        </w:tc>
        <w:tc>
          <w:tcPr>
            <w:tcW w:w="1276" w:type="dxa"/>
            <w:shd w:val="clear" w:color="auto" w:fill="FFFFFF"/>
          </w:tcPr>
          <w:p w14:paraId="5695CDC1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0,05</w:t>
            </w:r>
          </w:p>
        </w:tc>
      </w:tr>
      <w:tr w:rsidR="00F1121E" w:rsidRPr="00F1121E" w14:paraId="4B03C836" w14:textId="77777777" w:rsidTr="000E6E1F">
        <w:trPr>
          <w:trHeight w:hRule="exact" w:val="374"/>
        </w:trPr>
        <w:tc>
          <w:tcPr>
            <w:tcW w:w="9072" w:type="dxa"/>
            <w:gridSpan w:val="3"/>
            <w:shd w:val="clear" w:color="auto" w:fill="FFFFFF"/>
          </w:tcPr>
          <w:p w14:paraId="358FB16C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left"/>
            </w:pPr>
            <w:r w:rsidRPr="00F1121E">
              <w:rPr>
                <w:b/>
                <w:bCs/>
              </w:rPr>
              <w:t>D.</w:t>
            </w:r>
            <w:r w:rsidRPr="00F1121E">
              <w:t xml:space="preserve"> </w:t>
            </w:r>
            <w:r w:rsidRPr="00F1121E">
              <w:rPr>
                <w:b/>
                <w:bCs/>
              </w:rPr>
              <w:t>Мелкие детали соединительных и вспомогательных элементов</w:t>
            </w:r>
            <w:bookmarkStart w:id="15" w:name="_Hlk182211944"/>
            <w:r w:rsidRPr="00F1121E">
              <w:rPr>
                <w:b/>
                <w:bCs/>
              </w:rPr>
              <w:t xml:space="preserve"> ⁽⁴⁾</w:t>
            </w:r>
            <w:bookmarkEnd w:id="15"/>
          </w:p>
          <w:p w14:paraId="64965519" w14:textId="77777777" w:rsidR="00F1121E" w:rsidRPr="00F1121E" w:rsidRDefault="00F1121E" w:rsidP="000E6E1F">
            <w:pPr>
              <w:widowControl w:val="0"/>
              <w:suppressAutoHyphens/>
              <w:ind w:right="57"/>
              <w:jc w:val="left"/>
            </w:pPr>
          </w:p>
          <w:p w14:paraId="764B8A41" w14:textId="77777777" w:rsidR="00F1121E" w:rsidRPr="00F1121E" w:rsidRDefault="00F1121E" w:rsidP="000E6E1F">
            <w:pPr>
              <w:widowControl w:val="0"/>
              <w:suppressAutoHyphens/>
              <w:ind w:right="57"/>
              <w:jc w:val="left"/>
            </w:pPr>
          </w:p>
        </w:tc>
      </w:tr>
      <w:tr w:rsidR="00F1121E" w:rsidRPr="00F1121E" w14:paraId="4047DDE9" w14:textId="77777777" w:rsidTr="000E6E1F">
        <w:trPr>
          <w:trHeight w:hRule="exact" w:val="348"/>
        </w:trPr>
        <w:tc>
          <w:tcPr>
            <w:tcW w:w="1032" w:type="dxa"/>
            <w:shd w:val="clear" w:color="auto" w:fill="FFFFFF"/>
          </w:tcPr>
          <w:p w14:paraId="6B24AF55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lastRenderedPageBreak/>
              <w:t>1.</w:t>
            </w:r>
          </w:p>
        </w:tc>
        <w:tc>
          <w:tcPr>
            <w:tcW w:w="6764" w:type="dxa"/>
            <w:shd w:val="clear" w:color="auto" w:fill="FFFFFF"/>
          </w:tcPr>
          <w:p w14:paraId="79674969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ВД &lt; 80 мм (бытовые установки, здания)</w:t>
            </w:r>
          </w:p>
        </w:tc>
        <w:tc>
          <w:tcPr>
            <w:tcW w:w="1276" w:type="dxa"/>
            <w:shd w:val="clear" w:color="auto" w:fill="FFFFFF"/>
          </w:tcPr>
          <w:p w14:paraId="0A7832F7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0,02</w:t>
            </w:r>
          </w:p>
        </w:tc>
      </w:tr>
      <w:tr w:rsidR="00F1121E" w:rsidRPr="00F1121E" w14:paraId="1C1A79BC" w14:textId="77777777" w:rsidTr="000E6E1F">
        <w:trPr>
          <w:trHeight w:hRule="exact" w:val="282"/>
        </w:trPr>
        <w:tc>
          <w:tcPr>
            <w:tcW w:w="1032" w:type="dxa"/>
            <w:shd w:val="clear" w:color="auto" w:fill="FFFFFF"/>
          </w:tcPr>
          <w:p w14:paraId="2019059E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2.</w:t>
            </w:r>
          </w:p>
        </w:tc>
        <w:tc>
          <w:tcPr>
            <w:tcW w:w="6764" w:type="dxa"/>
            <w:shd w:val="clear" w:color="auto" w:fill="FFFFFF"/>
          </w:tcPr>
          <w:p w14:paraId="7AF94D4B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80 мм ≤ ID &lt; 300 мм ( соединительные детали)</w:t>
            </w:r>
          </w:p>
        </w:tc>
        <w:tc>
          <w:tcPr>
            <w:tcW w:w="1276" w:type="dxa"/>
            <w:shd w:val="clear" w:color="auto" w:fill="FFFFFF"/>
          </w:tcPr>
          <w:p w14:paraId="491740B7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0,01</w:t>
            </w:r>
          </w:p>
        </w:tc>
      </w:tr>
      <w:tr w:rsidR="00F1121E" w:rsidRPr="00F1121E" w14:paraId="07B99FA8" w14:textId="77777777" w:rsidTr="000E6E1F">
        <w:trPr>
          <w:trHeight w:hRule="exact" w:val="285"/>
        </w:trPr>
        <w:tc>
          <w:tcPr>
            <w:tcW w:w="1032" w:type="dxa"/>
            <w:shd w:val="clear" w:color="auto" w:fill="FFFFFF"/>
          </w:tcPr>
          <w:p w14:paraId="3EBCDF30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3.</w:t>
            </w:r>
          </w:p>
        </w:tc>
        <w:tc>
          <w:tcPr>
            <w:tcW w:w="6764" w:type="dxa"/>
            <w:shd w:val="clear" w:color="auto" w:fill="FFFFFF"/>
          </w:tcPr>
          <w:p w14:paraId="6ECB0F9F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ID ≥ 300 мм (магистральные трубы)</w:t>
            </w:r>
          </w:p>
        </w:tc>
        <w:tc>
          <w:tcPr>
            <w:tcW w:w="1276" w:type="dxa"/>
            <w:shd w:val="clear" w:color="auto" w:fill="FFFFFF"/>
          </w:tcPr>
          <w:p w14:paraId="7F234922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0,005</w:t>
            </w:r>
          </w:p>
        </w:tc>
      </w:tr>
      <w:tr w:rsidR="00F1121E" w:rsidRPr="00F1121E" w14:paraId="528B8C2D" w14:textId="77777777" w:rsidTr="000E6E1F">
        <w:trPr>
          <w:trHeight w:hRule="exact" w:val="435"/>
        </w:trPr>
        <w:tc>
          <w:tcPr>
            <w:tcW w:w="9072" w:type="dxa"/>
            <w:gridSpan w:val="3"/>
            <w:shd w:val="clear" w:color="auto" w:fill="FFFFFF"/>
          </w:tcPr>
          <w:p w14:paraId="772E9EB5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left"/>
            </w:pPr>
            <w:r w:rsidRPr="00F1121E">
              <w:rPr>
                <w:b/>
                <w:bCs/>
              </w:rPr>
              <w:t>E.</w:t>
            </w:r>
            <w:r w:rsidRPr="00F1121E">
              <w:t xml:space="preserve"> </w:t>
            </w:r>
            <w:r w:rsidRPr="00F1121E">
              <w:rPr>
                <w:b/>
                <w:bCs/>
              </w:rPr>
              <w:t>Системы хранения (резервуары)</w:t>
            </w:r>
          </w:p>
        </w:tc>
      </w:tr>
      <w:tr w:rsidR="00F1121E" w:rsidRPr="00F1121E" w14:paraId="0500B2C1" w14:textId="77777777" w:rsidTr="000E6E1F">
        <w:trPr>
          <w:trHeight w:hRule="exact" w:val="286"/>
        </w:trPr>
        <w:tc>
          <w:tcPr>
            <w:tcW w:w="1032" w:type="dxa"/>
            <w:shd w:val="clear" w:color="auto" w:fill="FFFFFF"/>
          </w:tcPr>
          <w:p w14:paraId="4E8D6F17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1.</w:t>
            </w:r>
          </w:p>
        </w:tc>
        <w:tc>
          <w:tcPr>
            <w:tcW w:w="6764" w:type="dxa"/>
            <w:shd w:val="clear" w:color="auto" w:fill="FFFFFF"/>
          </w:tcPr>
          <w:p w14:paraId="22EBAFE8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 бытовых установках, зданиях; объем воды &lt; 10 литров</w:t>
            </w:r>
          </w:p>
        </w:tc>
        <w:tc>
          <w:tcPr>
            <w:tcW w:w="1276" w:type="dxa"/>
            <w:shd w:val="clear" w:color="auto" w:fill="FFFFFF"/>
          </w:tcPr>
          <w:p w14:paraId="46C815FF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4</w:t>
            </w:r>
          </w:p>
        </w:tc>
      </w:tr>
      <w:tr w:rsidR="00F1121E" w:rsidRPr="00F1121E" w14:paraId="4A3B9692" w14:textId="77777777" w:rsidTr="000E6E1F">
        <w:trPr>
          <w:trHeight w:hRule="exact" w:val="289"/>
        </w:trPr>
        <w:tc>
          <w:tcPr>
            <w:tcW w:w="1032" w:type="dxa"/>
            <w:shd w:val="clear" w:color="auto" w:fill="FFFFFF"/>
          </w:tcPr>
          <w:p w14:paraId="06D644CC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2.</w:t>
            </w:r>
          </w:p>
        </w:tc>
        <w:tc>
          <w:tcPr>
            <w:tcW w:w="6764" w:type="dxa"/>
            <w:shd w:val="clear" w:color="auto" w:fill="FFFFFF"/>
          </w:tcPr>
          <w:p w14:paraId="6519FFCD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 бытовых установках, зданиях; объем воды ≥ 10 литров</w:t>
            </w:r>
          </w:p>
        </w:tc>
        <w:tc>
          <w:tcPr>
            <w:tcW w:w="1276" w:type="dxa"/>
            <w:shd w:val="clear" w:color="auto" w:fill="FFFFFF"/>
          </w:tcPr>
          <w:p w14:paraId="3177566E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</w:t>
            </w:r>
          </w:p>
        </w:tc>
      </w:tr>
      <w:tr w:rsidR="00F1121E" w:rsidRPr="00F1121E" w14:paraId="40D45475" w14:textId="77777777" w:rsidTr="000E6E1F">
        <w:trPr>
          <w:trHeight w:hRule="exact" w:val="239"/>
        </w:trPr>
        <w:tc>
          <w:tcPr>
            <w:tcW w:w="1032" w:type="dxa"/>
            <w:shd w:val="clear" w:color="auto" w:fill="FFFFFF"/>
          </w:tcPr>
          <w:p w14:paraId="6B0C4C5B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3.</w:t>
            </w:r>
          </w:p>
        </w:tc>
        <w:tc>
          <w:tcPr>
            <w:tcW w:w="6764" w:type="dxa"/>
            <w:shd w:val="clear" w:color="auto" w:fill="FFFFFF"/>
          </w:tcPr>
          <w:p w14:paraId="51DA3FC9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 водоснабжении</w:t>
            </w:r>
          </w:p>
        </w:tc>
        <w:tc>
          <w:tcPr>
            <w:tcW w:w="1276" w:type="dxa"/>
            <w:shd w:val="clear" w:color="auto" w:fill="FFFFFF"/>
          </w:tcPr>
          <w:p w14:paraId="3CCDDE42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1</w:t>
            </w:r>
          </w:p>
        </w:tc>
      </w:tr>
      <w:tr w:rsidR="00F1121E" w:rsidRPr="00F1121E" w14:paraId="49D46D63" w14:textId="77777777" w:rsidTr="000E6E1F">
        <w:trPr>
          <w:trHeight w:hRule="exact" w:val="416"/>
        </w:trPr>
        <w:tc>
          <w:tcPr>
            <w:tcW w:w="9072" w:type="dxa"/>
            <w:gridSpan w:val="3"/>
            <w:shd w:val="clear" w:color="auto" w:fill="FFFFFF"/>
          </w:tcPr>
          <w:p w14:paraId="2CB8D51C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left"/>
            </w:pPr>
            <w:r w:rsidRPr="00F1121E">
              <w:rPr>
                <w:b/>
                <w:bCs/>
              </w:rPr>
              <w:t>F</w:t>
            </w:r>
            <w:bookmarkStart w:id="16" w:name="bookmark18"/>
            <w:bookmarkEnd w:id="16"/>
            <w:r w:rsidRPr="00F1121E">
              <w:rPr>
                <w:b/>
                <w:bCs/>
              </w:rPr>
              <w:t>.</w:t>
            </w:r>
            <w:r w:rsidRPr="00F1121E">
              <w:t xml:space="preserve"> </w:t>
            </w:r>
            <w:r w:rsidRPr="00F1121E">
              <w:rPr>
                <w:b/>
                <w:bCs/>
              </w:rPr>
              <w:t xml:space="preserve">Компоненты систем хранения </w:t>
            </w:r>
            <w:r w:rsidRPr="00F1121E">
              <w:rPr>
                <w:rFonts w:eastAsia="SimSun"/>
                <w:b/>
                <w:bCs/>
              </w:rPr>
              <w:t>⁽³⁾</w:t>
            </w:r>
          </w:p>
        </w:tc>
      </w:tr>
      <w:tr w:rsidR="00F1121E" w:rsidRPr="00F1121E" w14:paraId="69A777BB" w14:textId="77777777" w:rsidTr="000E6E1F">
        <w:trPr>
          <w:trHeight w:hRule="exact" w:val="280"/>
        </w:trPr>
        <w:tc>
          <w:tcPr>
            <w:tcW w:w="1032" w:type="dxa"/>
            <w:shd w:val="clear" w:color="auto" w:fill="FFFFFF"/>
          </w:tcPr>
          <w:p w14:paraId="75753D1D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1.</w:t>
            </w:r>
          </w:p>
        </w:tc>
        <w:tc>
          <w:tcPr>
            <w:tcW w:w="6764" w:type="dxa"/>
            <w:shd w:val="clear" w:color="auto" w:fill="FFFFFF"/>
          </w:tcPr>
          <w:p w14:paraId="2DB66CAF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 бытовых установках, зданиях; объем воды &lt; 10 литров</w:t>
            </w:r>
          </w:p>
        </w:tc>
        <w:tc>
          <w:tcPr>
            <w:tcW w:w="1276" w:type="dxa"/>
            <w:shd w:val="clear" w:color="auto" w:fill="FFFFFF"/>
          </w:tcPr>
          <w:p w14:paraId="4A7445D2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0,4</w:t>
            </w:r>
          </w:p>
        </w:tc>
      </w:tr>
      <w:tr w:rsidR="00F1121E" w:rsidRPr="00F1121E" w14:paraId="6645DE30" w14:textId="77777777" w:rsidTr="000E6E1F">
        <w:trPr>
          <w:trHeight w:hRule="exact" w:val="284"/>
        </w:trPr>
        <w:tc>
          <w:tcPr>
            <w:tcW w:w="1032" w:type="dxa"/>
            <w:shd w:val="clear" w:color="auto" w:fill="FFFFFF"/>
          </w:tcPr>
          <w:p w14:paraId="58A93718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2.</w:t>
            </w:r>
          </w:p>
        </w:tc>
        <w:tc>
          <w:tcPr>
            <w:tcW w:w="6764" w:type="dxa"/>
            <w:shd w:val="clear" w:color="auto" w:fill="FFFFFF"/>
          </w:tcPr>
          <w:p w14:paraId="6EB37EB7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 бытовых установках, зданиях; объем воды ≥ 10 литров</w:t>
            </w:r>
          </w:p>
        </w:tc>
        <w:tc>
          <w:tcPr>
            <w:tcW w:w="1276" w:type="dxa"/>
            <w:shd w:val="clear" w:color="auto" w:fill="FFFFFF"/>
          </w:tcPr>
          <w:p w14:paraId="77111B01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0,2</w:t>
            </w:r>
          </w:p>
        </w:tc>
      </w:tr>
      <w:tr w:rsidR="00F1121E" w:rsidRPr="00F1121E" w14:paraId="4724F63A" w14:textId="77777777" w:rsidTr="000E6E1F">
        <w:trPr>
          <w:trHeight w:hRule="exact" w:val="288"/>
        </w:trPr>
        <w:tc>
          <w:tcPr>
            <w:tcW w:w="1032" w:type="dxa"/>
            <w:shd w:val="clear" w:color="auto" w:fill="FFFFFF"/>
          </w:tcPr>
          <w:p w14:paraId="2169B5C6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3.</w:t>
            </w:r>
          </w:p>
        </w:tc>
        <w:tc>
          <w:tcPr>
            <w:tcW w:w="6764" w:type="dxa"/>
            <w:shd w:val="clear" w:color="auto" w:fill="FFFFFF"/>
          </w:tcPr>
          <w:p w14:paraId="6F6F3AB4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 водоснабжении</w:t>
            </w:r>
          </w:p>
        </w:tc>
        <w:tc>
          <w:tcPr>
            <w:tcW w:w="1276" w:type="dxa"/>
            <w:shd w:val="clear" w:color="auto" w:fill="FFFFFF"/>
          </w:tcPr>
          <w:p w14:paraId="192BFA10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0,1</w:t>
            </w:r>
          </w:p>
        </w:tc>
      </w:tr>
      <w:tr w:rsidR="00F1121E" w:rsidRPr="00F1121E" w14:paraId="5620DFDB" w14:textId="77777777" w:rsidTr="000E6E1F">
        <w:trPr>
          <w:trHeight w:hRule="exact" w:val="410"/>
        </w:trPr>
        <w:tc>
          <w:tcPr>
            <w:tcW w:w="9072" w:type="dxa"/>
            <w:gridSpan w:val="3"/>
            <w:shd w:val="clear" w:color="auto" w:fill="FFFFFF"/>
          </w:tcPr>
          <w:p w14:paraId="7006F4AC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left"/>
            </w:pPr>
            <w:r w:rsidRPr="00F1121E">
              <w:rPr>
                <w:b/>
                <w:bCs/>
              </w:rPr>
              <w:t>G</w:t>
            </w:r>
            <w:bookmarkStart w:id="17" w:name="bookmark19"/>
            <w:bookmarkEnd w:id="17"/>
            <w:r w:rsidRPr="00F1121E">
              <w:t xml:space="preserve">. </w:t>
            </w:r>
            <w:r w:rsidRPr="00F1121E">
              <w:rPr>
                <w:b/>
                <w:bCs/>
              </w:rPr>
              <w:t>Компоненты небольших систем хранения ⁽⁴⁾</w:t>
            </w:r>
          </w:p>
          <w:p w14:paraId="55E55003" w14:textId="77777777" w:rsidR="00F1121E" w:rsidRPr="00F1121E" w:rsidRDefault="00F1121E" w:rsidP="000E6E1F">
            <w:pPr>
              <w:widowControl w:val="0"/>
              <w:suppressAutoHyphens/>
              <w:ind w:right="57"/>
              <w:jc w:val="left"/>
            </w:pPr>
          </w:p>
          <w:p w14:paraId="593B61B9" w14:textId="77777777" w:rsidR="00F1121E" w:rsidRPr="00F1121E" w:rsidRDefault="00F1121E" w:rsidP="000E6E1F">
            <w:pPr>
              <w:widowControl w:val="0"/>
              <w:suppressAutoHyphens/>
              <w:ind w:right="57"/>
              <w:jc w:val="left"/>
            </w:pPr>
          </w:p>
        </w:tc>
      </w:tr>
      <w:tr w:rsidR="00F1121E" w:rsidRPr="00F1121E" w14:paraId="42E47F5A" w14:textId="77777777" w:rsidTr="000E6E1F">
        <w:trPr>
          <w:trHeight w:hRule="exact" w:val="298"/>
        </w:trPr>
        <w:tc>
          <w:tcPr>
            <w:tcW w:w="1032" w:type="dxa"/>
            <w:shd w:val="clear" w:color="auto" w:fill="FFFFFF"/>
          </w:tcPr>
          <w:p w14:paraId="4638B2BE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1.</w:t>
            </w:r>
          </w:p>
        </w:tc>
        <w:tc>
          <w:tcPr>
            <w:tcW w:w="6764" w:type="dxa"/>
            <w:shd w:val="clear" w:color="auto" w:fill="FFFFFF"/>
          </w:tcPr>
          <w:p w14:paraId="082E093B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 бытовых установках, зданиях; объем воды &lt; 10 литров</w:t>
            </w:r>
          </w:p>
        </w:tc>
        <w:tc>
          <w:tcPr>
            <w:tcW w:w="1276" w:type="dxa"/>
            <w:shd w:val="clear" w:color="auto" w:fill="FFFFFF"/>
          </w:tcPr>
          <w:p w14:paraId="6924C69E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0,04</w:t>
            </w:r>
          </w:p>
        </w:tc>
      </w:tr>
      <w:tr w:rsidR="00F1121E" w:rsidRPr="00F1121E" w14:paraId="24F52351" w14:textId="77777777" w:rsidTr="000E6E1F">
        <w:trPr>
          <w:trHeight w:hRule="exact" w:val="273"/>
        </w:trPr>
        <w:tc>
          <w:tcPr>
            <w:tcW w:w="1032" w:type="dxa"/>
            <w:shd w:val="clear" w:color="auto" w:fill="FFFFFF"/>
          </w:tcPr>
          <w:p w14:paraId="52F6855F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2.</w:t>
            </w:r>
          </w:p>
        </w:tc>
        <w:tc>
          <w:tcPr>
            <w:tcW w:w="6764" w:type="dxa"/>
            <w:shd w:val="clear" w:color="auto" w:fill="FFFFFF"/>
          </w:tcPr>
          <w:p w14:paraId="56677A02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 бытовых установках, зданиях; объем воды ≥ 10 литров</w:t>
            </w:r>
          </w:p>
        </w:tc>
        <w:tc>
          <w:tcPr>
            <w:tcW w:w="1276" w:type="dxa"/>
            <w:shd w:val="clear" w:color="auto" w:fill="FFFFFF"/>
          </w:tcPr>
          <w:p w14:paraId="5AC0792A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0,02</w:t>
            </w:r>
          </w:p>
        </w:tc>
      </w:tr>
      <w:tr w:rsidR="00F1121E" w:rsidRPr="00F1121E" w14:paraId="40D6267F" w14:textId="77777777" w:rsidTr="000E6E1F">
        <w:trPr>
          <w:trHeight w:hRule="exact" w:val="292"/>
        </w:trPr>
        <w:tc>
          <w:tcPr>
            <w:tcW w:w="1032" w:type="dxa"/>
            <w:shd w:val="clear" w:color="auto" w:fill="FFFFFF"/>
          </w:tcPr>
          <w:p w14:paraId="6B5892D8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3.</w:t>
            </w:r>
          </w:p>
        </w:tc>
        <w:tc>
          <w:tcPr>
            <w:tcW w:w="6764" w:type="dxa"/>
            <w:shd w:val="clear" w:color="auto" w:fill="FFFFFF"/>
          </w:tcPr>
          <w:p w14:paraId="4006600E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В водоснабжении</w:t>
            </w:r>
          </w:p>
        </w:tc>
        <w:tc>
          <w:tcPr>
            <w:tcW w:w="1276" w:type="dxa"/>
            <w:shd w:val="clear" w:color="auto" w:fill="FFFFFF"/>
          </w:tcPr>
          <w:p w14:paraId="4F9FCF07" w14:textId="77777777" w:rsidR="00F1121E" w:rsidRPr="00F1121E" w:rsidRDefault="00F1121E" w:rsidP="000E6E1F">
            <w:pPr>
              <w:widowControl w:val="0"/>
              <w:suppressAutoHyphens/>
              <w:ind w:right="57" w:firstLine="0"/>
              <w:jc w:val="center"/>
            </w:pPr>
            <w:r w:rsidRPr="00F1121E">
              <w:t>0,01</w:t>
            </w:r>
          </w:p>
        </w:tc>
      </w:tr>
    </w:tbl>
    <w:p w14:paraId="728F9FA3" w14:textId="77777777" w:rsidR="00F1121E" w:rsidRPr="00F1121E" w:rsidRDefault="00F1121E" w:rsidP="00F1121E">
      <w:pPr>
        <w:widowControl w:val="0"/>
        <w:suppressAutoHyphens/>
        <w:ind w:right="57"/>
        <w:rPr>
          <w:i/>
          <w:iCs/>
        </w:rPr>
      </w:pPr>
      <w:bookmarkStart w:id="18" w:name="_Hlk182211382"/>
      <w:bookmarkStart w:id="19" w:name="_Hlk182211423"/>
      <w:r w:rsidRPr="00F1121E">
        <w:rPr>
          <w:i/>
          <w:iCs/>
        </w:rPr>
        <w:t xml:space="preserve"> </w:t>
      </w:r>
    </w:p>
    <w:bookmarkEnd w:id="18"/>
    <w:bookmarkEnd w:id="19"/>
    <w:p w14:paraId="0AEC37B0" w14:textId="77777777" w:rsidR="00F1121E" w:rsidRPr="00F1121E" w:rsidRDefault="00F1121E" w:rsidP="00F1121E">
      <w:pPr>
        <w:widowControl w:val="0"/>
        <w:suppressAutoHyphens/>
        <w:ind w:right="57"/>
        <w:rPr>
          <w:bCs/>
        </w:rPr>
      </w:pPr>
      <w:r w:rsidRPr="00F1121E">
        <w:rPr>
          <w:bCs/>
        </w:rPr>
        <w:t>⁽¹⁾ Если из серии труб разного диаметра, изготовленных из одного и того же промежуточного продукта в рамках одного и того же производственного процесса (так называемое семейство изделий), труба с наименьшим диаметром оценивается и утверждается, то вся серия труб с различным диаметром может использоваться для всех областей применения в рамках группы изделий без дополнительных испытаний.</w:t>
      </w:r>
    </w:p>
    <w:p w14:paraId="23211E00" w14:textId="77777777" w:rsidR="00F1121E" w:rsidRPr="00F1121E" w:rsidRDefault="00F1121E" w:rsidP="00F1121E">
      <w:pPr>
        <w:widowControl w:val="0"/>
        <w:suppressAutoHyphens/>
        <w:ind w:right="57"/>
        <w:rPr>
          <w:bCs/>
        </w:rPr>
      </w:pPr>
      <w:r w:rsidRPr="00F1121E">
        <w:rPr>
          <w:bCs/>
        </w:rPr>
        <w:t>(2,3,4) Компоненты (сумма компонентов, изготовленных из одного и того же основного полимера или из одного и того же состава) сборных изделий с увлажненной поверхностью.</w:t>
      </w:r>
    </w:p>
    <w:p w14:paraId="4888AF48" w14:textId="77777777" w:rsidR="00F1121E" w:rsidRPr="00F1121E" w:rsidRDefault="00F1121E" w:rsidP="00F1121E">
      <w:pPr>
        <w:widowControl w:val="0"/>
        <w:suppressAutoHyphens/>
        <w:ind w:right="57"/>
        <w:rPr>
          <w:bCs/>
        </w:rPr>
      </w:pPr>
      <w:r w:rsidRPr="00F1121E">
        <w:rPr>
          <w:bCs/>
        </w:rPr>
        <w:t>⁽²⁾ ≥ 10 % сборного изделия.</w:t>
      </w:r>
    </w:p>
    <w:p w14:paraId="3EB9295C" w14:textId="77777777" w:rsidR="00F1121E" w:rsidRPr="00F1121E" w:rsidRDefault="00F1121E" w:rsidP="00F1121E">
      <w:pPr>
        <w:widowControl w:val="0"/>
        <w:suppressAutoHyphens/>
        <w:ind w:right="57"/>
        <w:rPr>
          <w:bCs/>
        </w:rPr>
      </w:pPr>
      <w:r w:rsidRPr="00F1121E">
        <w:rPr>
          <w:bCs/>
        </w:rPr>
        <w:t>⁽³⁾ &lt; 10 % сборного изделия.</w:t>
      </w:r>
    </w:p>
    <w:p w14:paraId="700CB5FC" w14:textId="3D2AAE5F" w:rsidR="00F1121E" w:rsidRPr="00F1121E" w:rsidRDefault="00F1121E" w:rsidP="00F1121E">
      <w:pPr>
        <w:widowControl w:val="0"/>
        <w:suppressAutoHyphens/>
        <w:ind w:right="57"/>
        <w:rPr>
          <w:lang w:val="en-US"/>
        </w:rPr>
      </w:pPr>
      <w:r w:rsidRPr="00F1121E">
        <w:rPr>
          <w:bCs/>
        </w:rPr>
        <w:t>⁽⁴⁾ &lt; 1 % сборного изделия.</w:t>
      </w:r>
    </w:p>
    <w:p w14:paraId="32AE81AE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10.2. </w:t>
      </w:r>
      <w:r w:rsidRPr="00F1121E">
        <w:rPr>
          <w:rFonts w:cstheme="majorBidi"/>
          <w:i/>
        </w:rPr>
        <w:t>Критерии приемки/отклонения для соответствующих веществ</w:t>
      </w:r>
    </w:p>
    <w:p w14:paraId="6BB1B0DF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10.2.1. Следующие требования применяются к испытанию на миграцию в холодной воде:</w:t>
      </w:r>
    </w:p>
    <w:p w14:paraId="1ADB51DA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10.2.1.1. 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≤ MTC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для 3-го периода миграции (10-й день испытания) или, если необходимо продлить испытание, для 9-го периода миграции (31-й день испытания);</w:t>
      </w:r>
    </w:p>
    <w:p w14:paraId="6ADFCEF7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10.2.1.2. значение 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не должно иметь тенденцию к увеличению с течением времени. </w:t>
      </w:r>
    </w:p>
    <w:p w14:paraId="2713D178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10.2.2. Следующие требования применяются к испытанию на миграцию с использованием теплой/горячей воды:</w:t>
      </w:r>
    </w:p>
    <w:p w14:paraId="3E57A643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10.2.2.1. 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≤ MTC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для 7-го периода миграции (10-й день испытания) или, если необходимо продлить испытание, для 22-го периода миграции (31-й день испытания);</w:t>
      </w:r>
    </w:p>
    <w:p w14:paraId="43921E9F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10.2.2.2. значение 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не должно иметь тенденцию к увеличению с течением времени.</w:t>
      </w:r>
    </w:p>
    <w:p w14:paraId="57ADA223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10.2.3. Для оценки тенденции используются концентрации вещества, измеренные в миграционной воде из последовательных периодов миграции. Однако, если значение 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в соответствующем периоде миграции составляет менее 1/10 от значения MTC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>, анализ тенденции не требуется.</w:t>
      </w:r>
    </w:p>
    <w:p w14:paraId="06586195" w14:textId="6CA63D26" w:rsidR="00F1121E" w:rsidRPr="00F1121E" w:rsidRDefault="00F1121E" w:rsidP="00F1121E">
      <w:pPr>
        <w:rPr>
          <w:rFonts w:cstheme="majorBidi"/>
          <w:lang w:val="ru-MD"/>
        </w:rPr>
      </w:pPr>
      <w:r w:rsidRPr="00F1121E">
        <w:rPr>
          <w:rFonts w:cstheme="majorBidi"/>
        </w:rPr>
        <w:t>10.2.4. Для ионов применяются значения MTC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, </w:t>
      </w:r>
      <w:r w:rsidRPr="00F1121E">
        <w:rPr>
          <w:rFonts w:cstheme="majorBidi"/>
          <w:vertAlign w:val="superscript"/>
        </w:rPr>
        <w:t>органические</w:t>
      </w:r>
      <w:r w:rsidRPr="00F1121E">
        <w:rPr>
          <w:rFonts w:cstheme="majorBidi"/>
        </w:rPr>
        <w:t>, утвержденные в соответствии с пунктом 7 Регламента</w:t>
      </w:r>
      <w:r w:rsidRPr="00F1121E">
        <w:rPr>
          <w:rFonts w:cstheme="majorBidi"/>
          <w:lang w:val="ru-MD"/>
        </w:rPr>
        <w:t>.</w:t>
      </w:r>
    </w:p>
    <w:p w14:paraId="07A434F3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10.3. </w:t>
      </w:r>
      <w:r w:rsidRPr="00F1121E">
        <w:rPr>
          <w:rFonts w:cstheme="majorBidi"/>
          <w:i/>
        </w:rPr>
        <w:t>Критерии приемки/отклонения для неожиданных веществ</w:t>
      </w:r>
    </w:p>
    <w:p w14:paraId="418FFB03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10.3.1. Следующее требование применяется к испытанию на миграцию с использованием холодной воды:</w:t>
      </w:r>
    </w:p>
    <w:p w14:paraId="4B9D666D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10.3.1.1. 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≤ MTC</w:t>
      </w:r>
      <w:r w:rsidRPr="00F1121E">
        <w:rPr>
          <w:rFonts w:cstheme="majorBidi"/>
          <w:vertAlign w:val="subscript"/>
        </w:rPr>
        <w:t>ta</w:t>
      </w:r>
      <w:r w:rsidRPr="00F1121E">
        <w:rPr>
          <w:rFonts w:cstheme="majorBidi"/>
        </w:rPr>
        <w:t>p для 3-го периода миграции (10-й день испытания); или,</w:t>
      </w:r>
    </w:p>
    <w:p w14:paraId="706F303F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10.3.1.2. если требуется продление испытания, 9-й период миграции (31-й день испытания).</w:t>
      </w:r>
    </w:p>
    <w:p w14:paraId="749ADA1E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10.3.2. Значения MTC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для неожиданных веществ приведены в таблице 6.</w:t>
      </w:r>
    </w:p>
    <w:p w14:paraId="0F378AEC" w14:textId="0BA2634D" w:rsidR="00F1121E" w:rsidRPr="00F1121E" w:rsidRDefault="00F1121E" w:rsidP="00F1121E">
      <w:pPr>
        <w:ind w:firstLine="0"/>
        <w:jc w:val="right"/>
        <w:rPr>
          <w:rFonts w:cstheme="majorBidi"/>
          <w:iCs/>
        </w:rPr>
      </w:pPr>
      <w:r w:rsidRPr="00F1121E">
        <w:rPr>
          <w:rFonts w:cstheme="majorBidi"/>
          <w:iCs/>
        </w:rPr>
        <w:t>Таблица 6</w:t>
      </w:r>
    </w:p>
    <w:p w14:paraId="60D929EB" w14:textId="77777777" w:rsidR="00F1121E" w:rsidRPr="00F1121E" w:rsidRDefault="00F1121E" w:rsidP="00F1121E">
      <w:pPr>
        <w:jc w:val="right"/>
        <w:rPr>
          <w:rFonts w:cstheme="majorBidi"/>
          <w:iCs/>
        </w:rPr>
      </w:pPr>
    </w:p>
    <w:p w14:paraId="062A0054" w14:textId="77777777" w:rsidR="00F1121E" w:rsidRPr="00F1121E" w:rsidRDefault="00F1121E" w:rsidP="00F1121E">
      <w:pPr>
        <w:ind w:firstLine="0"/>
        <w:jc w:val="center"/>
        <w:rPr>
          <w:rFonts w:cstheme="majorBidi"/>
          <w:b/>
          <w:bCs/>
        </w:rPr>
      </w:pPr>
      <w:bookmarkStart w:id="20" w:name="bookmark24"/>
      <w:bookmarkStart w:id="21" w:name="_Hlk182212860"/>
      <w:bookmarkEnd w:id="20"/>
      <w:r w:rsidRPr="00F1121E">
        <w:rPr>
          <w:rFonts w:cstheme="majorBidi"/>
          <w:b/>
          <w:bCs/>
        </w:rPr>
        <w:t>Значения MTC</w:t>
      </w:r>
      <w:r w:rsidRPr="00F1121E">
        <w:rPr>
          <w:rFonts w:cstheme="majorBidi"/>
          <w:b/>
          <w:bCs/>
          <w:vertAlign w:val="subscript"/>
        </w:rPr>
        <w:t>tap</w:t>
      </w:r>
      <w:r w:rsidRPr="00F1121E">
        <w:rPr>
          <w:rFonts w:cstheme="majorBidi"/>
          <w:b/>
          <w:bCs/>
        </w:rPr>
        <w:t xml:space="preserve"> для неожиданных веществ ⁽¹⁾</w:t>
      </w:r>
      <w:bookmarkEnd w:id="21"/>
    </w:p>
    <w:p w14:paraId="145B55D5" w14:textId="77777777" w:rsidR="00F1121E" w:rsidRPr="00F1121E" w:rsidRDefault="00F1121E" w:rsidP="00F1121E">
      <w:pPr>
        <w:rPr>
          <w:rFonts w:cstheme="majorBidi"/>
        </w:rPr>
      </w:pP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7"/>
        <w:gridCol w:w="4179"/>
      </w:tblGrid>
      <w:tr w:rsidR="00F1121E" w:rsidRPr="00F1121E" w14:paraId="7B379D98" w14:textId="77777777" w:rsidTr="000E6E1F">
        <w:trPr>
          <w:trHeight w:hRule="exact" w:val="386"/>
          <w:jc w:val="center"/>
        </w:trPr>
        <w:tc>
          <w:tcPr>
            <w:tcW w:w="5077" w:type="dxa"/>
            <w:shd w:val="clear" w:color="auto" w:fill="FFFFFF" w:themeFill="background1"/>
          </w:tcPr>
          <w:p w14:paraId="0EF89284" w14:textId="77777777" w:rsidR="00F1121E" w:rsidRPr="00F1121E" w:rsidRDefault="00F1121E" w:rsidP="000E6E1F">
            <w:pPr>
              <w:ind w:firstLine="0"/>
              <w:jc w:val="center"/>
              <w:rPr>
                <w:rFonts w:cstheme="majorBidi"/>
                <w:b/>
                <w:bCs/>
              </w:rPr>
            </w:pPr>
            <w:r w:rsidRPr="00F1121E">
              <w:rPr>
                <w:rFonts w:cstheme="majorBidi"/>
                <w:b/>
              </w:rPr>
              <w:lastRenderedPageBreak/>
              <w:t>Параметр</w:t>
            </w:r>
          </w:p>
        </w:tc>
        <w:tc>
          <w:tcPr>
            <w:tcW w:w="4179" w:type="dxa"/>
            <w:shd w:val="clear" w:color="auto" w:fill="FFFFFF" w:themeFill="background1"/>
          </w:tcPr>
          <w:p w14:paraId="71198607" w14:textId="77777777" w:rsidR="00F1121E" w:rsidRPr="00F1121E" w:rsidRDefault="00F1121E" w:rsidP="000E6E1F">
            <w:pPr>
              <w:ind w:firstLine="0"/>
              <w:jc w:val="center"/>
              <w:rPr>
                <w:rFonts w:cstheme="majorBidi"/>
                <w:b/>
                <w:bCs/>
              </w:rPr>
            </w:pPr>
            <w:r w:rsidRPr="00F1121E">
              <w:rPr>
                <w:rFonts w:cstheme="majorBidi"/>
                <w:b/>
                <w:bCs/>
              </w:rPr>
              <w:t>MTC</w:t>
            </w:r>
            <w:r w:rsidRPr="00F1121E">
              <w:rPr>
                <w:rFonts w:cstheme="majorBidi"/>
                <w:b/>
                <w:bCs/>
                <w:vertAlign w:val="subscript"/>
              </w:rPr>
              <w:t>tap</w:t>
            </w:r>
          </w:p>
        </w:tc>
      </w:tr>
      <w:tr w:rsidR="00F1121E" w:rsidRPr="00F1121E" w14:paraId="012FEE1C" w14:textId="77777777" w:rsidTr="000E6E1F">
        <w:trPr>
          <w:trHeight w:hRule="exact" w:val="715"/>
          <w:jc w:val="center"/>
        </w:trPr>
        <w:tc>
          <w:tcPr>
            <w:tcW w:w="5077" w:type="dxa"/>
            <w:shd w:val="clear" w:color="auto" w:fill="FFFFFF" w:themeFill="background1"/>
          </w:tcPr>
          <w:p w14:paraId="1FA5D585" w14:textId="77777777" w:rsidR="00F1121E" w:rsidRPr="00F1121E" w:rsidRDefault="00F1121E" w:rsidP="000E6E1F">
            <w:pPr>
              <w:ind w:firstLine="0"/>
              <w:rPr>
                <w:rFonts w:cstheme="majorBidi"/>
              </w:rPr>
            </w:pPr>
            <w:r w:rsidRPr="00F1121E">
              <w:rPr>
                <w:rFonts w:cstheme="majorBidi"/>
              </w:rPr>
              <w:t>Вещества, идентифицированные с известным значением MTC</w:t>
            </w:r>
            <w:r w:rsidRPr="00F1121E">
              <w:rPr>
                <w:rFonts w:cstheme="majorBidi"/>
                <w:vertAlign w:val="subscript"/>
              </w:rPr>
              <w:t>tap</w:t>
            </w:r>
          </w:p>
        </w:tc>
        <w:tc>
          <w:tcPr>
            <w:tcW w:w="4179" w:type="dxa"/>
            <w:shd w:val="clear" w:color="auto" w:fill="FFFFFF" w:themeFill="background1"/>
          </w:tcPr>
          <w:p w14:paraId="37FD0830" w14:textId="77777777" w:rsidR="00F1121E" w:rsidRPr="00F1121E" w:rsidRDefault="00F1121E" w:rsidP="000E6E1F">
            <w:pPr>
              <w:ind w:firstLine="0"/>
              <w:rPr>
                <w:rFonts w:cstheme="majorBidi"/>
              </w:rPr>
            </w:pPr>
            <w:r w:rsidRPr="00F1121E">
              <w:rPr>
                <w:rFonts w:cstheme="majorBidi"/>
              </w:rPr>
              <w:t>Значение MTC</w:t>
            </w:r>
            <w:r w:rsidRPr="00F1121E">
              <w:rPr>
                <w:rFonts w:cstheme="majorBidi"/>
                <w:vertAlign w:val="subscript"/>
              </w:rPr>
              <w:t>tap</w:t>
            </w:r>
            <w:r w:rsidRPr="00F1121E">
              <w:rPr>
                <w:rFonts w:cstheme="majorBidi"/>
              </w:rPr>
              <w:t xml:space="preserve"> вещества</w:t>
            </w:r>
          </w:p>
        </w:tc>
      </w:tr>
      <w:tr w:rsidR="00F1121E" w:rsidRPr="00F1121E" w14:paraId="461FE17F" w14:textId="77777777" w:rsidTr="000E6E1F">
        <w:trPr>
          <w:trHeight w:hRule="exact" w:val="635"/>
          <w:jc w:val="center"/>
        </w:trPr>
        <w:tc>
          <w:tcPr>
            <w:tcW w:w="5077" w:type="dxa"/>
            <w:shd w:val="clear" w:color="auto" w:fill="FFFFFF" w:themeFill="background1"/>
          </w:tcPr>
          <w:p w14:paraId="26CE6564" w14:textId="77777777" w:rsidR="00F1121E" w:rsidRPr="00F1121E" w:rsidRDefault="00F1121E" w:rsidP="000E6E1F">
            <w:pPr>
              <w:ind w:firstLine="0"/>
              <w:rPr>
                <w:rFonts w:cstheme="majorBidi"/>
              </w:rPr>
            </w:pPr>
            <w:r w:rsidRPr="00F1121E">
              <w:rPr>
                <w:rFonts w:cstheme="majorBidi"/>
              </w:rPr>
              <w:t>Вещества, идентифицированные без известного значения MTC</w:t>
            </w:r>
            <w:r w:rsidRPr="00F1121E">
              <w:rPr>
                <w:rFonts w:cstheme="majorBidi"/>
                <w:vertAlign w:val="subscript"/>
              </w:rPr>
              <w:t>tap</w:t>
            </w:r>
          </w:p>
        </w:tc>
        <w:tc>
          <w:tcPr>
            <w:tcW w:w="4179" w:type="dxa"/>
            <w:shd w:val="clear" w:color="auto" w:fill="FFFFFF" w:themeFill="background1"/>
          </w:tcPr>
          <w:p w14:paraId="5714702A" w14:textId="77777777" w:rsidR="00F1121E" w:rsidRPr="00F1121E" w:rsidRDefault="00F1121E" w:rsidP="000E6E1F">
            <w:pPr>
              <w:ind w:firstLine="0"/>
              <w:rPr>
                <w:rFonts w:cstheme="majorBidi"/>
              </w:rPr>
            </w:pPr>
            <w:r w:rsidRPr="00F1121E">
              <w:rPr>
                <w:rFonts w:cstheme="majorBidi"/>
              </w:rPr>
              <w:t>1,0 мг/л</w:t>
            </w:r>
          </w:p>
        </w:tc>
      </w:tr>
      <w:tr w:rsidR="00F1121E" w:rsidRPr="00F1121E" w14:paraId="414FBAC7" w14:textId="77777777" w:rsidTr="00F1121E">
        <w:trPr>
          <w:trHeight w:hRule="exact" w:val="906"/>
          <w:jc w:val="center"/>
        </w:trPr>
        <w:tc>
          <w:tcPr>
            <w:tcW w:w="5077" w:type="dxa"/>
            <w:shd w:val="clear" w:color="auto" w:fill="FFFFFF" w:themeFill="background1"/>
          </w:tcPr>
          <w:p w14:paraId="501AAC63" w14:textId="77777777" w:rsidR="00F1121E" w:rsidRPr="00F1121E" w:rsidRDefault="00F1121E" w:rsidP="000E6E1F">
            <w:pPr>
              <w:ind w:firstLine="0"/>
              <w:rPr>
                <w:rFonts w:cstheme="majorBidi"/>
              </w:rPr>
            </w:pPr>
            <w:r w:rsidRPr="00F1121E">
              <w:rPr>
                <w:rFonts w:cstheme="majorBidi"/>
              </w:rPr>
              <w:t>Неидентифицированные вещества</w:t>
            </w:r>
          </w:p>
        </w:tc>
        <w:tc>
          <w:tcPr>
            <w:tcW w:w="4179" w:type="dxa"/>
            <w:shd w:val="clear" w:color="auto" w:fill="FFFFFF" w:themeFill="background1"/>
          </w:tcPr>
          <w:p w14:paraId="2A543758" w14:textId="77777777" w:rsidR="00F1121E" w:rsidRPr="00F1121E" w:rsidRDefault="00F1121E" w:rsidP="000E6E1F">
            <w:pPr>
              <w:ind w:firstLine="0"/>
              <w:rPr>
                <w:rFonts w:cstheme="majorBidi"/>
              </w:rPr>
            </w:pPr>
            <w:r w:rsidRPr="00F1121E">
              <w:rPr>
                <w:rFonts w:cstheme="majorBidi"/>
              </w:rPr>
              <w:t>1,0 мкг/л на каждое неидентифицированное вещество</w:t>
            </w:r>
          </w:p>
          <w:p w14:paraId="7BDBFB97" w14:textId="77777777" w:rsidR="00F1121E" w:rsidRPr="00F1121E" w:rsidRDefault="00F1121E" w:rsidP="000E6E1F">
            <w:pPr>
              <w:ind w:firstLine="0"/>
              <w:rPr>
                <w:rFonts w:cstheme="majorBidi"/>
              </w:rPr>
            </w:pPr>
            <w:r w:rsidRPr="00F1121E">
              <w:rPr>
                <w:rFonts w:cstheme="majorBidi"/>
              </w:rPr>
              <w:t>5,0 мкг/л на сумму неидентифицированных веществ</w:t>
            </w:r>
          </w:p>
        </w:tc>
      </w:tr>
    </w:tbl>
    <w:p w14:paraId="2ABD45ED" w14:textId="77777777" w:rsidR="00F1121E" w:rsidRPr="00F1121E" w:rsidRDefault="00F1121E" w:rsidP="00F1121E">
      <w:pPr>
        <w:rPr>
          <w:rFonts w:cstheme="majorBidi"/>
        </w:rPr>
      </w:pPr>
    </w:p>
    <w:p w14:paraId="3A306293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⁽¹⁾ На основе ответа ближайшего внутреннего стандарта.</w:t>
      </w:r>
    </w:p>
    <w:p w14:paraId="6D427432" w14:textId="77777777" w:rsidR="00F1121E" w:rsidRPr="00F1121E" w:rsidRDefault="00F1121E" w:rsidP="00F1121E">
      <w:pPr>
        <w:rPr>
          <w:rFonts w:cstheme="majorBidi"/>
        </w:rPr>
      </w:pPr>
    </w:p>
    <w:p w14:paraId="2970975B" w14:textId="77777777" w:rsidR="00F1121E" w:rsidRPr="00F1121E" w:rsidRDefault="00F1121E" w:rsidP="00F1121E">
      <w:pPr>
        <w:rPr>
          <w:rFonts w:cstheme="majorBidi"/>
          <w:i/>
        </w:rPr>
      </w:pPr>
      <w:r w:rsidRPr="00F1121E">
        <w:rPr>
          <w:rFonts w:cstheme="majorBidi"/>
        </w:rPr>
        <w:t>10.4. </w:t>
      </w:r>
      <w:r w:rsidRPr="00F1121E">
        <w:rPr>
          <w:rFonts w:cstheme="majorBidi"/>
          <w:i/>
        </w:rPr>
        <w:t>Критерии приемки/отклонения для ООУ</w:t>
      </w:r>
    </w:p>
    <w:p w14:paraId="5F6B34D4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10.4.1. Следующие требования применяются к испытанию на миграцию с использованием холодной воды:</w:t>
      </w:r>
    </w:p>
    <w:p w14:paraId="2ED6A0C1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10.4.1.1. 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≤ 0,5 мг/л для 3-го периода миграции (10-й день испытания) или 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≤ 0,5 мг/л для 9-го периода миграции (31-й день испытания) и 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≤ 2,0 мг/л для 3-го периода миграции (10-й день испытания);</w:t>
      </w:r>
    </w:p>
    <w:p w14:paraId="7AE1C9A0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10.4.1.2. значение 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не должно иметь тенденции к увеличению с течением времени. </w:t>
      </w:r>
    </w:p>
    <w:p w14:paraId="43010433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10.4.2. Следующие требования применяются к испытанию на миграцию с использованием теплой/горячей воды:</w:t>
      </w:r>
    </w:p>
    <w:p w14:paraId="190AE2C9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10.4.2.1. 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≤ 0,5 мг/л для 7-го периода миграции (10-й день испытания) или 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≤ 0,5 мг/л для 22-го периода миграции (31-й день испытания) и 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≤ 2,0 мг/л для 7-го периода миграции (10-й день испытания);</w:t>
      </w:r>
    </w:p>
    <w:p w14:paraId="51AAECB8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10.4.2.2. значение C</w:t>
      </w:r>
      <w:r w:rsidRPr="00F1121E">
        <w:rPr>
          <w:rFonts w:cstheme="majorBidi"/>
          <w:vertAlign w:val="subscript"/>
        </w:rPr>
        <w:t>tap</w:t>
      </w:r>
      <w:r w:rsidRPr="00F1121E">
        <w:rPr>
          <w:rFonts w:cstheme="majorBidi"/>
        </w:rPr>
        <w:t xml:space="preserve"> не должно иметь тенденцию к увеличению с течением времени.</w:t>
      </w:r>
    </w:p>
    <w:p w14:paraId="5E363D42" w14:textId="584362E0" w:rsidR="00F1121E" w:rsidRPr="00F1121E" w:rsidRDefault="00F1121E" w:rsidP="00F1121E">
      <w:pPr>
        <w:rPr>
          <w:rFonts w:cstheme="majorBidi"/>
          <w:lang w:val="en-US"/>
        </w:rPr>
      </w:pPr>
      <w:r w:rsidRPr="00F1121E">
        <w:rPr>
          <w:rFonts w:cstheme="majorBidi"/>
        </w:rPr>
        <w:t>10.4.3. Для оценки тенденции используется ООУ, измеренный в миграционной воде из последовательных периодов миграции. Однако, если ООУ в соответствующем периоде миграции ниже 0,2 мг/л, анализ тенденции не требуется.</w:t>
      </w:r>
    </w:p>
    <w:p w14:paraId="61D902B0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  <w:b/>
        </w:rPr>
        <w:t>11</w:t>
      </w:r>
      <w:r w:rsidRPr="00F1121E">
        <w:rPr>
          <w:rFonts w:cstheme="majorBidi"/>
        </w:rPr>
        <w:t xml:space="preserve">. Запах, вкус, цвет и мутность </w:t>
      </w:r>
    </w:p>
    <w:p w14:paraId="5D49017D" w14:textId="77777777" w:rsidR="00F1121E" w:rsidRPr="00F1121E" w:rsidRDefault="00F1121E" w:rsidP="00F1121E">
      <w:pPr>
        <w:rPr>
          <w:rFonts w:cstheme="majorBidi"/>
          <w:i/>
        </w:rPr>
      </w:pPr>
      <w:r w:rsidRPr="00F1121E">
        <w:rPr>
          <w:rFonts w:cstheme="majorBidi"/>
        </w:rPr>
        <w:t>11.1. </w:t>
      </w:r>
      <w:r w:rsidRPr="00F1121E">
        <w:rPr>
          <w:rFonts w:cstheme="majorBidi"/>
          <w:i/>
        </w:rPr>
        <w:t>Критерии приемки/отклонения для TON и TFN</w:t>
      </w:r>
    </w:p>
    <w:p w14:paraId="54CAF34C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Критерии приемки/отклонения для TON и TFN для труб с внутренним диаметром (ВД) &lt; 80 мм:</w:t>
      </w:r>
    </w:p>
    <w:p w14:paraId="08E4911D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11.1.1. Следующие требования применяются к испытанию на миграцию с использованием холодной воды:</w:t>
      </w:r>
    </w:p>
    <w:p w14:paraId="439FCB98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11.1.1.1. TON, TFN ≤ 8,0 для 3-го периода миграции (10-й день испытания) или</w:t>
      </w:r>
    </w:p>
    <w:p w14:paraId="645259B0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11.1.1.2. TON, TFN ≤ 8,0 для 9-го периода миграции (31-й день испытания) и TON, TFN ≤ 16 для 3-го периода миграции (10-й день испытания).</w:t>
      </w:r>
    </w:p>
    <w:p w14:paraId="46479C1D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11.1.2. Следующие требования применяются к испытанию на миграцию с использованием теплой/горячей воды:</w:t>
      </w:r>
    </w:p>
    <w:p w14:paraId="443CE2F2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11.1.2.1. TON, TFN ≤ 8,0 для 7-го периода миграции (10-й день испытания); или</w:t>
      </w:r>
    </w:p>
    <w:p w14:paraId="6A334194" w14:textId="2C732446" w:rsidR="00F1121E" w:rsidRPr="00F1121E" w:rsidRDefault="00F1121E" w:rsidP="00F1121E">
      <w:pPr>
        <w:rPr>
          <w:rFonts w:cstheme="majorBidi"/>
          <w:lang w:val="en-US"/>
        </w:rPr>
      </w:pPr>
      <w:r w:rsidRPr="00F1121E">
        <w:rPr>
          <w:rFonts w:cstheme="majorBidi"/>
        </w:rPr>
        <w:t>11.1.2.2. TON, TFN ≤ 8,0 для 22-го периода миграции (31-й день испытания) и TON, TFN ≤ 16 для 7-го периода миграции (10-й день испытания)</w:t>
      </w:r>
    </w:p>
    <w:p w14:paraId="4B67AFFE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 xml:space="preserve">Критерии приемлемости/неприемлемости для TON и TFN для всех остальных изделий: </w:t>
      </w:r>
    </w:p>
    <w:p w14:paraId="63D78C52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11.1.3. Следующие требования применяются к испытанию на миграцию с использованием холодной воды:</w:t>
      </w:r>
    </w:p>
    <w:p w14:paraId="5F2F18F4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11.1.3.1. TON, TFN ≤ 2,0 для 3-го периода миграции (10-й день испытания); или</w:t>
      </w:r>
    </w:p>
    <w:p w14:paraId="2CDD2973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11.1.3.2. TON, TFN ≤ 2,0 для 9-го периода миграции (31-й день испытания) и TON, TFN ≤ 4,0 для 3-го периода миграции (10-й день испытания).</w:t>
      </w:r>
    </w:p>
    <w:p w14:paraId="3B8BEE54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11.1.4 Следующие требования применяются к испытанию на миграцию с использованием горячей/кипящей воды:</w:t>
      </w:r>
    </w:p>
    <w:p w14:paraId="0242E649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11.1.4.1. TON, TFN ≤ 2,0 для 7-го периода миграции (10-й день испытания); или</w:t>
      </w:r>
    </w:p>
    <w:p w14:paraId="370B2F70" w14:textId="679C5A11" w:rsidR="00F1121E" w:rsidRPr="00F1121E" w:rsidRDefault="00F1121E" w:rsidP="00F1121E">
      <w:pPr>
        <w:rPr>
          <w:rFonts w:cstheme="majorBidi"/>
          <w:lang w:val="en-US"/>
        </w:rPr>
      </w:pPr>
      <w:r w:rsidRPr="00F1121E">
        <w:rPr>
          <w:rFonts w:cstheme="majorBidi"/>
        </w:rPr>
        <w:t>11.1.4.2. TON, TFN ≤ 2,0 для 22-го периода миграции (31-й день испытания) и TON, TFN ≤ 4,0 для 7-го периода миграции (10-й день испытания).</w:t>
      </w:r>
    </w:p>
    <w:p w14:paraId="43279A2E" w14:textId="77777777" w:rsidR="00F1121E" w:rsidRPr="00F1121E" w:rsidRDefault="00F1121E" w:rsidP="00F1121E">
      <w:pPr>
        <w:rPr>
          <w:rFonts w:cstheme="majorBidi"/>
          <w:i/>
        </w:rPr>
      </w:pPr>
      <w:r w:rsidRPr="00F1121E">
        <w:rPr>
          <w:rFonts w:cstheme="majorBidi"/>
        </w:rPr>
        <w:t>11.2. </w:t>
      </w:r>
      <w:r w:rsidRPr="00F1121E">
        <w:rPr>
          <w:rFonts w:cstheme="majorBidi"/>
          <w:i/>
        </w:rPr>
        <w:t>Критерии приемки/отклонения по цвету</w:t>
      </w:r>
    </w:p>
    <w:p w14:paraId="61529CEB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</w:rPr>
        <w:t>11.2.1. Критерий приемки по цвету составляет ≤ 5 мг/л Pt/Co.</w:t>
      </w:r>
    </w:p>
    <w:p w14:paraId="6A3BE53A" w14:textId="17D85D37" w:rsidR="00F1121E" w:rsidRPr="00F1121E" w:rsidRDefault="00F1121E" w:rsidP="00F1121E">
      <w:pPr>
        <w:rPr>
          <w:rFonts w:cstheme="majorBidi"/>
          <w:lang w:val="en-US"/>
        </w:rPr>
      </w:pPr>
      <w:r w:rsidRPr="00F1121E">
        <w:rPr>
          <w:rFonts w:cstheme="majorBidi"/>
        </w:rPr>
        <w:lastRenderedPageBreak/>
        <w:t>11.2.2. Критерий должен соблюдаться для 3-го периода миграции для испытания на миграцию с холодной водой / 7-го периода миграции для испытания на миграцию с теплой/горячей водой (10-й день испытания) или, в случае продления испытания, для 9-го периода миграции для испытания на миграцию с холодной водой / 22-го периода миграции для испытания на миграцию с теплой/горячей водой (31-й день испытания).</w:t>
      </w:r>
    </w:p>
    <w:p w14:paraId="16D5C13B" w14:textId="77777777" w:rsidR="00F1121E" w:rsidRPr="00F1121E" w:rsidRDefault="00F1121E" w:rsidP="00F1121E">
      <w:pPr>
        <w:rPr>
          <w:rFonts w:cstheme="majorBidi"/>
          <w:iCs/>
        </w:rPr>
      </w:pPr>
      <w:r w:rsidRPr="00F1121E">
        <w:rPr>
          <w:rFonts w:cstheme="majorBidi"/>
          <w:iCs/>
        </w:rPr>
        <w:t>11.3. </w:t>
      </w:r>
      <w:r w:rsidRPr="00F1121E">
        <w:rPr>
          <w:rFonts w:cstheme="majorBidi"/>
          <w:i/>
          <w:iCs/>
        </w:rPr>
        <w:t>Критерии приемки/отклонения для мутности</w:t>
      </w:r>
    </w:p>
    <w:p w14:paraId="2162C223" w14:textId="77777777" w:rsidR="00F1121E" w:rsidRPr="00F1121E" w:rsidRDefault="00F1121E" w:rsidP="00F1121E">
      <w:pPr>
        <w:rPr>
          <w:rFonts w:cstheme="majorBidi"/>
          <w:iCs/>
        </w:rPr>
      </w:pPr>
      <w:r w:rsidRPr="00F1121E">
        <w:rPr>
          <w:rFonts w:cstheme="majorBidi"/>
          <w:iCs/>
        </w:rPr>
        <w:t>11.3.1. Критерий приемки для мутности составляет ≤ 0,5 FNU.</w:t>
      </w:r>
    </w:p>
    <w:p w14:paraId="7A5D2D8B" w14:textId="1678155D" w:rsidR="00F1121E" w:rsidRPr="00F1121E" w:rsidRDefault="00F1121E" w:rsidP="00F1121E">
      <w:pPr>
        <w:rPr>
          <w:rFonts w:cstheme="majorBidi"/>
          <w:iCs/>
          <w:lang w:val="en-US"/>
        </w:rPr>
      </w:pPr>
      <w:r w:rsidRPr="00F1121E">
        <w:rPr>
          <w:rFonts w:cstheme="majorBidi"/>
          <w:iCs/>
        </w:rPr>
        <w:t>11.3.2. Критерий должен соблюдаться для 3-го периода миграции для испытания на миграцию с холодной водой</w:t>
      </w:r>
      <w:r w:rsidRPr="00F1121E">
        <w:rPr>
          <w:rFonts w:cstheme="majorBidi"/>
          <w:iCs/>
          <w:lang w:val="en-US"/>
        </w:rPr>
        <w:t> </w:t>
      </w:r>
      <w:r w:rsidRPr="00F1121E">
        <w:rPr>
          <w:rFonts w:cstheme="majorBidi"/>
          <w:iCs/>
        </w:rPr>
        <w:t>/</w:t>
      </w:r>
      <w:r w:rsidRPr="00F1121E">
        <w:rPr>
          <w:rFonts w:cstheme="majorBidi"/>
          <w:iCs/>
          <w:lang w:val="en-US"/>
        </w:rPr>
        <w:t> </w:t>
      </w:r>
      <w:r w:rsidRPr="00F1121E">
        <w:rPr>
          <w:rFonts w:cstheme="majorBidi"/>
          <w:iCs/>
        </w:rPr>
        <w:t>7-го периода миграции для испытания на миграцию с теплой/горячей водой (10-й день испытания) или, в случае продления испытания, для 9-го периода миграции для испытания на миграцию с холодной водой</w:t>
      </w:r>
      <w:r w:rsidRPr="00F1121E">
        <w:rPr>
          <w:rFonts w:cstheme="majorBidi"/>
          <w:iCs/>
          <w:lang w:val="en-US"/>
        </w:rPr>
        <w:t> </w:t>
      </w:r>
      <w:r w:rsidRPr="00F1121E">
        <w:rPr>
          <w:rFonts w:cstheme="majorBidi"/>
          <w:iCs/>
        </w:rPr>
        <w:t>/</w:t>
      </w:r>
      <w:r w:rsidRPr="00F1121E">
        <w:rPr>
          <w:rFonts w:cstheme="majorBidi"/>
          <w:iCs/>
          <w:lang w:val="en-US"/>
        </w:rPr>
        <w:t> </w:t>
      </w:r>
      <w:r w:rsidRPr="00F1121E">
        <w:rPr>
          <w:rFonts w:cstheme="majorBidi"/>
          <w:iCs/>
        </w:rPr>
        <w:t>22-го периода миграции для испытания на миграцию с теплой/горячей водой (31-й день испытания).</w:t>
      </w:r>
    </w:p>
    <w:p w14:paraId="63A9321E" w14:textId="77777777" w:rsidR="00F1121E" w:rsidRPr="00F1121E" w:rsidRDefault="00F1121E" w:rsidP="00F1121E">
      <w:pPr>
        <w:rPr>
          <w:rFonts w:cstheme="majorBidi"/>
          <w:iCs/>
        </w:rPr>
      </w:pPr>
      <w:r w:rsidRPr="00F1121E">
        <w:rPr>
          <w:rFonts w:cstheme="majorBidi"/>
          <w:b/>
          <w:iCs/>
        </w:rPr>
        <w:t>12</w:t>
      </w:r>
      <w:r w:rsidRPr="00F1121E">
        <w:rPr>
          <w:rFonts w:cstheme="majorBidi"/>
          <w:iCs/>
        </w:rPr>
        <w:t>.</w:t>
      </w:r>
      <w:r w:rsidRPr="00F1121E">
        <w:rPr>
          <w:rFonts w:cstheme="majorBidi"/>
          <w:iCs/>
          <w:lang w:val="en-US"/>
        </w:rPr>
        <w:t> </w:t>
      </w:r>
      <w:r w:rsidRPr="00F1121E">
        <w:rPr>
          <w:rFonts w:cstheme="majorBidi"/>
          <w:iCs/>
        </w:rPr>
        <w:t>Стимулирование роста микроорганизмов (СРМ)</w:t>
      </w:r>
    </w:p>
    <w:p w14:paraId="6CF49637" w14:textId="77777777" w:rsidR="00F1121E" w:rsidRPr="00F1121E" w:rsidRDefault="00F1121E" w:rsidP="00F1121E">
      <w:pPr>
        <w:rPr>
          <w:rFonts w:cstheme="majorBidi"/>
          <w:iCs/>
        </w:rPr>
      </w:pPr>
      <w:r w:rsidRPr="00F1121E">
        <w:rPr>
          <w:rFonts w:cstheme="majorBidi"/>
          <w:iCs/>
        </w:rPr>
        <w:t>12.1.</w:t>
      </w:r>
      <w:r w:rsidRPr="00F1121E">
        <w:rPr>
          <w:rFonts w:cstheme="majorBidi"/>
          <w:iCs/>
          <w:lang w:val="en-US"/>
        </w:rPr>
        <w:t> </w:t>
      </w:r>
      <w:r w:rsidRPr="00F1121E">
        <w:rPr>
          <w:rFonts w:cstheme="majorBidi"/>
          <w:iCs/>
        </w:rPr>
        <w:t>Критерии приемлемости/неприемлемости для параметра «Стимулирование роста микроорганизмов» (СРМ) перечислены в таблице 7.</w:t>
      </w:r>
    </w:p>
    <w:p w14:paraId="7E33BCB4" w14:textId="77777777" w:rsidR="00F1121E" w:rsidRPr="00F1121E" w:rsidRDefault="00F1121E" w:rsidP="00F1121E">
      <w:pPr>
        <w:rPr>
          <w:rFonts w:cstheme="majorBidi"/>
        </w:rPr>
      </w:pPr>
      <w:r w:rsidRPr="00F1121E">
        <w:rPr>
          <w:rFonts w:cstheme="majorBidi"/>
          <w:iCs/>
        </w:rPr>
        <w:t>12.2.</w:t>
      </w:r>
      <w:r w:rsidRPr="00F1121E">
        <w:rPr>
          <w:rFonts w:cstheme="majorBidi"/>
          <w:iCs/>
          <w:lang w:val="en-US"/>
        </w:rPr>
        <w:t> </w:t>
      </w:r>
      <w:r w:rsidRPr="00F1121E">
        <w:rPr>
          <w:rFonts w:cstheme="majorBidi"/>
          <w:iCs/>
        </w:rPr>
        <w:t>Кроме того, поверхность изделий или компонентов не должна оказывать биоцидного воздействия на питьевую воду. Следовательно, образцы, на поверхности которых не наблюдается колонизация (сравнение мазка контактной культуры/испытательного образца с мазкого отрицательного контроля), не соответствуют этому требованию.</w:t>
      </w:r>
    </w:p>
    <w:p w14:paraId="7465A5D3" w14:textId="123D96DD" w:rsidR="00F1121E" w:rsidRPr="00F1121E" w:rsidRDefault="00F1121E" w:rsidP="00F1121E">
      <w:pPr>
        <w:widowControl w:val="0"/>
        <w:tabs>
          <w:tab w:val="left" w:pos="709"/>
        </w:tabs>
        <w:suppressAutoHyphens/>
        <w:kinsoku w:val="0"/>
        <w:overflowPunct w:val="0"/>
        <w:ind w:right="57" w:firstLine="0"/>
        <w:jc w:val="right"/>
        <w:rPr>
          <w:iCs/>
          <w:w w:val="90"/>
          <w:lang w:val="en-US"/>
        </w:rPr>
      </w:pPr>
      <w:r w:rsidRPr="00F1121E">
        <w:rPr>
          <w:iCs/>
          <w:spacing w:val="-3"/>
          <w:w w:val="90"/>
        </w:rPr>
        <w:t>Таблица</w:t>
      </w:r>
      <w:r w:rsidRPr="00F1121E">
        <w:rPr>
          <w:iCs/>
          <w:spacing w:val="-8"/>
          <w:w w:val="90"/>
        </w:rPr>
        <w:t xml:space="preserve"> </w:t>
      </w:r>
      <w:r w:rsidRPr="00F1121E">
        <w:rPr>
          <w:iCs/>
          <w:w w:val="90"/>
        </w:rPr>
        <w:t>7</w:t>
      </w:r>
    </w:p>
    <w:p w14:paraId="7A978596" w14:textId="77777777" w:rsidR="00F1121E" w:rsidRPr="00F1121E" w:rsidRDefault="00F1121E" w:rsidP="00F1121E">
      <w:pPr>
        <w:widowControl w:val="0"/>
        <w:tabs>
          <w:tab w:val="left" w:pos="709"/>
        </w:tabs>
        <w:suppressAutoHyphens/>
        <w:kinsoku w:val="0"/>
        <w:overflowPunct w:val="0"/>
        <w:ind w:right="57"/>
        <w:jc w:val="right"/>
        <w:rPr>
          <w:iCs/>
          <w:lang w:val="en-US"/>
        </w:rPr>
      </w:pPr>
    </w:p>
    <w:p w14:paraId="21ECC81A" w14:textId="77777777" w:rsidR="00F1121E" w:rsidRPr="00F1121E" w:rsidRDefault="00F1121E" w:rsidP="00F1121E">
      <w:pPr>
        <w:widowControl w:val="0"/>
        <w:tabs>
          <w:tab w:val="left" w:pos="709"/>
        </w:tabs>
        <w:kinsoku w:val="0"/>
        <w:overflowPunct w:val="0"/>
        <w:autoSpaceDE w:val="0"/>
        <w:autoSpaceDN w:val="0"/>
        <w:adjustRightInd w:val="0"/>
        <w:ind w:right="57" w:firstLine="0"/>
        <w:jc w:val="center"/>
        <w:outlineLvl w:val="0"/>
        <w:rPr>
          <w:rFonts w:eastAsia="SimSun"/>
          <w:b/>
          <w:bCs/>
          <w:w w:val="95"/>
          <w:lang w:val="en-US"/>
        </w:rPr>
      </w:pPr>
      <w:r w:rsidRPr="00F1121E">
        <w:rPr>
          <w:rFonts w:eastAsia="SimSun"/>
          <w:b/>
          <w:bCs/>
          <w:w w:val="95"/>
        </w:rPr>
        <w:t>Критерии приемки для СРМ</w:t>
      </w:r>
    </w:p>
    <w:p w14:paraId="13C5439F" w14:textId="77777777" w:rsidR="00F1121E" w:rsidRPr="00F1121E" w:rsidRDefault="00F1121E" w:rsidP="00F1121E">
      <w:pPr>
        <w:widowControl w:val="0"/>
        <w:tabs>
          <w:tab w:val="left" w:pos="709"/>
        </w:tabs>
        <w:kinsoku w:val="0"/>
        <w:overflowPunct w:val="0"/>
        <w:autoSpaceDE w:val="0"/>
        <w:autoSpaceDN w:val="0"/>
        <w:adjustRightInd w:val="0"/>
        <w:ind w:right="57"/>
        <w:jc w:val="center"/>
        <w:outlineLvl w:val="0"/>
        <w:rPr>
          <w:rFonts w:eastAsia="SimSun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0"/>
        <w:gridCol w:w="984"/>
        <w:gridCol w:w="1567"/>
        <w:gridCol w:w="1258"/>
        <w:gridCol w:w="1423"/>
        <w:gridCol w:w="1421"/>
        <w:gridCol w:w="1567"/>
      </w:tblGrid>
      <w:tr w:rsidR="00F1121E" w:rsidRPr="00F1121E" w14:paraId="660068E1" w14:textId="77777777" w:rsidTr="000E6E1F">
        <w:trPr>
          <w:trHeight w:hRule="exact" w:val="877"/>
        </w:trPr>
        <w:tc>
          <w:tcPr>
            <w:tcW w:w="625" w:type="pct"/>
            <w:shd w:val="clear" w:color="auto" w:fill="FFFFFF"/>
          </w:tcPr>
          <w:p w14:paraId="11BFEAC1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</w:rPr>
            </w:pPr>
            <w:r w:rsidRPr="00F1121E">
              <w:rPr>
                <w:rFonts w:eastAsia="SimSun"/>
                <w:b/>
                <w:bCs/>
                <w:w w:val="90"/>
              </w:rPr>
              <w:t>Стандарт</w:t>
            </w:r>
          </w:p>
        </w:tc>
        <w:tc>
          <w:tcPr>
            <w:tcW w:w="547" w:type="pct"/>
            <w:shd w:val="clear" w:color="auto" w:fill="FFFFFF"/>
          </w:tcPr>
          <w:p w14:paraId="0A9DA63D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  <w:w w:val="90"/>
              </w:rPr>
            </w:pPr>
          </w:p>
        </w:tc>
        <w:tc>
          <w:tcPr>
            <w:tcW w:w="859" w:type="pct"/>
            <w:shd w:val="clear" w:color="auto" w:fill="FFFFFF"/>
          </w:tcPr>
          <w:p w14:paraId="5CFF2782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  <w:w w:val="90"/>
              </w:rPr>
            </w:pPr>
          </w:p>
        </w:tc>
        <w:tc>
          <w:tcPr>
            <w:tcW w:w="547" w:type="pct"/>
            <w:shd w:val="clear" w:color="auto" w:fill="FFFFFF"/>
          </w:tcPr>
          <w:p w14:paraId="439B8CA7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  <w:w w:val="90"/>
              </w:rPr>
            </w:pPr>
            <w:r w:rsidRPr="00F1121E">
              <w:rPr>
                <w:rFonts w:eastAsia="SimSun"/>
                <w:b/>
                <w:bCs/>
                <w:w w:val="90"/>
              </w:rPr>
              <w:t>Неэластомер</w:t>
            </w:r>
          </w:p>
        </w:tc>
        <w:tc>
          <w:tcPr>
            <w:tcW w:w="782" w:type="pct"/>
            <w:shd w:val="clear" w:color="auto" w:fill="FFFFFF"/>
          </w:tcPr>
          <w:p w14:paraId="416FC81F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  <w:w w:val="90"/>
              </w:rPr>
            </w:pPr>
            <w:r w:rsidRPr="00F1121E">
              <w:rPr>
                <w:rFonts w:eastAsia="SimSun"/>
                <w:b/>
                <w:bCs/>
                <w:w w:val="90"/>
              </w:rPr>
              <w:t>Эластомер</w:t>
            </w:r>
          </w:p>
          <w:p w14:paraId="785D24DA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  <w:w w:val="90"/>
              </w:rPr>
            </w:pPr>
            <w:r w:rsidRPr="00F1121E">
              <w:rPr>
                <w:rFonts w:eastAsia="SimSun"/>
                <w:b/>
                <w:bCs/>
                <w:w w:val="90"/>
              </w:rPr>
              <w:t>(КП&gt;1 д/дм))</w:t>
            </w:r>
          </w:p>
        </w:tc>
        <w:tc>
          <w:tcPr>
            <w:tcW w:w="781" w:type="pct"/>
            <w:shd w:val="clear" w:color="auto" w:fill="FFFFFF"/>
          </w:tcPr>
          <w:p w14:paraId="285BA600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  <w:w w:val="90"/>
              </w:rPr>
            </w:pPr>
            <w:r w:rsidRPr="00F1121E">
              <w:rPr>
                <w:rFonts w:eastAsia="SimSun"/>
                <w:b/>
                <w:bCs/>
                <w:w w:val="90"/>
              </w:rPr>
              <w:t>Эластомер</w:t>
            </w:r>
          </w:p>
          <w:p w14:paraId="5EFC0991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  <w:w w:val="90"/>
              </w:rPr>
            </w:pPr>
            <w:r w:rsidRPr="00F1121E">
              <w:rPr>
                <w:rFonts w:eastAsia="SimSun"/>
                <w:b/>
                <w:bCs/>
                <w:w w:val="90"/>
              </w:rPr>
              <w:t>(1 д/дм ≥ КП&gt;0,1 д/дм)</w:t>
            </w:r>
          </w:p>
        </w:tc>
        <w:tc>
          <w:tcPr>
            <w:tcW w:w="859" w:type="pct"/>
            <w:shd w:val="clear" w:color="auto" w:fill="FFFFFF"/>
          </w:tcPr>
          <w:p w14:paraId="0607E907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  <w:w w:val="90"/>
              </w:rPr>
            </w:pPr>
            <w:r w:rsidRPr="00F1121E">
              <w:rPr>
                <w:rFonts w:eastAsia="SimSun"/>
                <w:b/>
                <w:bCs/>
                <w:w w:val="90"/>
              </w:rPr>
              <w:t>Эластомер</w:t>
            </w:r>
          </w:p>
          <w:p w14:paraId="788373DA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center"/>
              <w:rPr>
                <w:rFonts w:eastAsia="SimSun"/>
                <w:b/>
                <w:bCs/>
                <w:w w:val="90"/>
              </w:rPr>
            </w:pPr>
            <w:r w:rsidRPr="00F1121E">
              <w:rPr>
                <w:rFonts w:eastAsia="SimSun"/>
                <w:b/>
                <w:bCs/>
                <w:w w:val="90"/>
              </w:rPr>
              <w:t>(КП≤ 0,1 д/дм)</w:t>
            </w:r>
          </w:p>
        </w:tc>
      </w:tr>
      <w:tr w:rsidR="00F1121E" w:rsidRPr="00F1121E" w14:paraId="631A501A" w14:textId="77777777" w:rsidTr="000E6E1F">
        <w:trPr>
          <w:trHeight w:hRule="exact" w:val="1206"/>
        </w:trPr>
        <w:tc>
          <w:tcPr>
            <w:tcW w:w="625" w:type="pct"/>
            <w:shd w:val="clear" w:color="auto" w:fill="FFFFFF"/>
          </w:tcPr>
          <w:p w14:paraId="38C47527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0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SM EN 16421:2017</w:t>
            </w:r>
          </w:p>
        </w:tc>
        <w:tc>
          <w:tcPr>
            <w:tcW w:w="547" w:type="pct"/>
            <w:shd w:val="clear" w:color="auto" w:fill="FFFFFF"/>
          </w:tcPr>
          <w:p w14:paraId="63CF24D8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Метод 1</w:t>
            </w:r>
          </w:p>
        </w:tc>
        <w:tc>
          <w:tcPr>
            <w:tcW w:w="859" w:type="pct"/>
            <w:shd w:val="clear" w:color="auto" w:fill="FFFFFF"/>
          </w:tcPr>
          <w:p w14:paraId="1CC55DD8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left="139" w:right="57" w:firstLine="3"/>
              <w:jc w:val="left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Потенциал производства биомассы</w:t>
            </w:r>
          </w:p>
          <w:p w14:paraId="5AADE61C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jc w:val="left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в пг АТР/см2</w:t>
            </w:r>
          </w:p>
        </w:tc>
        <w:tc>
          <w:tcPr>
            <w:tcW w:w="547" w:type="pct"/>
            <w:shd w:val="clear" w:color="auto" w:fill="FFFFFF"/>
          </w:tcPr>
          <w:p w14:paraId="5C619451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≤ 1 000</w:t>
            </w:r>
          </w:p>
        </w:tc>
        <w:tc>
          <w:tcPr>
            <w:tcW w:w="782" w:type="pct"/>
            <w:shd w:val="clear" w:color="auto" w:fill="FFFFFF"/>
          </w:tcPr>
          <w:p w14:paraId="2683C098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≤ 1 000</w:t>
            </w:r>
          </w:p>
        </w:tc>
        <w:tc>
          <w:tcPr>
            <w:tcW w:w="781" w:type="pct"/>
            <w:shd w:val="clear" w:color="auto" w:fill="FFFFFF"/>
          </w:tcPr>
          <w:p w14:paraId="2780408A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≤ 1 000</w:t>
            </w:r>
          </w:p>
        </w:tc>
        <w:tc>
          <w:tcPr>
            <w:tcW w:w="859" w:type="pct"/>
            <w:shd w:val="clear" w:color="auto" w:fill="FFFFFF"/>
          </w:tcPr>
          <w:p w14:paraId="7E38C63F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≤ 1 000</w:t>
            </w:r>
          </w:p>
        </w:tc>
      </w:tr>
      <w:tr w:rsidR="00F1121E" w:rsidRPr="00F1121E" w14:paraId="1C571F40" w14:textId="77777777" w:rsidTr="000E6E1F">
        <w:trPr>
          <w:trHeight w:hRule="exact" w:val="881"/>
        </w:trPr>
        <w:tc>
          <w:tcPr>
            <w:tcW w:w="625" w:type="pct"/>
            <w:shd w:val="clear" w:color="auto" w:fill="FFFFFF"/>
          </w:tcPr>
          <w:p w14:paraId="037FE0F9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0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SM EN 16421:2017</w:t>
            </w:r>
          </w:p>
        </w:tc>
        <w:tc>
          <w:tcPr>
            <w:tcW w:w="547" w:type="pct"/>
            <w:shd w:val="clear" w:color="auto" w:fill="FFFFFF"/>
          </w:tcPr>
          <w:p w14:paraId="5BE656AB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Метод 2</w:t>
            </w:r>
          </w:p>
        </w:tc>
        <w:tc>
          <w:tcPr>
            <w:tcW w:w="859" w:type="pct"/>
            <w:shd w:val="clear" w:color="auto" w:fill="FFFFFF"/>
          </w:tcPr>
          <w:p w14:paraId="2E97D063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left="139" w:right="57" w:firstLine="3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Вбиофильм в мл/800 см2</w:t>
            </w:r>
          </w:p>
        </w:tc>
        <w:tc>
          <w:tcPr>
            <w:tcW w:w="547" w:type="pct"/>
            <w:shd w:val="clear" w:color="auto" w:fill="FFFFFF"/>
          </w:tcPr>
          <w:p w14:paraId="11223FE2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≤ 0,05 ± 0,02</w:t>
            </w:r>
          </w:p>
        </w:tc>
        <w:tc>
          <w:tcPr>
            <w:tcW w:w="782" w:type="pct"/>
            <w:shd w:val="clear" w:color="auto" w:fill="FFFFFF"/>
          </w:tcPr>
          <w:p w14:paraId="69F97360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≤ 0,05 ± 0,02</w:t>
            </w:r>
          </w:p>
        </w:tc>
        <w:tc>
          <w:tcPr>
            <w:tcW w:w="781" w:type="pct"/>
            <w:shd w:val="clear" w:color="auto" w:fill="FFFFFF"/>
          </w:tcPr>
          <w:p w14:paraId="21CC2582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≤ 0,12 ± 0,03</w:t>
            </w:r>
          </w:p>
        </w:tc>
        <w:tc>
          <w:tcPr>
            <w:tcW w:w="859" w:type="pct"/>
            <w:shd w:val="clear" w:color="auto" w:fill="FFFFFF"/>
          </w:tcPr>
          <w:p w14:paraId="2FC7BAD4" w14:textId="77777777" w:rsidR="00F1121E" w:rsidRPr="00F1121E" w:rsidRDefault="00F1121E" w:rsidP="000E6E1F">
            <w:pPr>
              <w:widowControl w:val="0"/>
              <w:tabs>
                <w:tab w:val="left" w:pos="709"/>
              </w:tabs>
              <w:kinsoku w:val="0"/>
              <w:overflowPunct w:val="0"/>
              <w:autoSpaceDE w:val="0"/>
              <w:autoSpaceDN w:val="0"/>
              <w:adjustRightInd w:val="0"/>
              <w:ind w:right="57" w:firstLine="142"/>
              <w:rPr>
                <w:rFonts w:eastAsia="SimSun"/>
                <w:w w:val="90"/>
              </w:rPr>
            </w:pPr>
            <w:r w:rsidRPr="00F1121E">
              <w:rPr>
                <w:rFonts w:eastAsia="SimSun"/>
                <w:w w:val="90"/>
              </w:rPr>
              <w:t>≤ 0,20 ± 0,03</w:t>
            </w:r>
          </w:p>
        </w:tc>
      </w:tr>
    </w:tbl>
    <w:p w14:paraId="5556919F" w14:textId="77777777" w:rsidR="00F1121E" w:rsidRPr="00F1121E" w:rsidRDefault="00F1121E" w:rsidP="00F1121E">
      <w:pPr>
        <w:widowControl w:val="0"/>
        <w:suppressAutoHyphens/>
        <w:ind w:right="57"/>
        <w:contextualSpacing/>
      </w:pPr>
    </w:p>
    <w:p w14:paraId="751D6384" w14:textId="77777777" w:rsidR="00F1121E" w:rsidRPr="00F1121E" w:rsidRDefault="00F1121E" w:rsidP="00F1121E">
      <w:pPr>
        <w:widowControl w:val="0"/>
        <w:suppressAutoHyphens/>
        <w:ind w:right="57"/>
        <w:contextualSpacing/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b/>
          <w:kern w:val="2"/>
          <w14:ligatures w14:val="standardContextual"/>
        </w:rPr>
        <w:t>13</w:t>
      </w:r>
      <w:r w:rsidRPr="00F1121E">
        <w:rPr>
          <w:rFonts w:eastAsia="Calibri"/>
          <w:kern w:val="2"/>
          <w14:ligatures w14:val="standardContextual"/>
        </w:rPr>
        <w:t>.</w:t>
      </w:r>
      <w:r w:rsidRPr="00F1121E">
        <w:rPr>
          <w:rFonts w:eastAsia="Calibri"/>
          <w:kern w:val="2"/>
          <w:lang w:val="en-US"/>
          <w14:ligatures w14:val="standardContextual"/>
        </w:rPr>
        <w:t> </w:t>
      </w:r>
      <w:r w:rsidRPr="00F1121E">
        <w:rPr>
          <w:rFonts w:eastAsia="Calibri"/>
          <w:kern w:val="2"/>
          <w14:ligatures w14:val="standardContextual"/>
        </w:rPr>
        <w:t>Критерии приемки/отклонения для остаточного содержания веществ (QM и QMA)</w:t>
      </w:r>
    </w:p>
    <w:p w14:paraId="53659ADA" w14:textId="627CC4F2" w:rsidR="00F1121E" w:rsidRPr="00F1121E" w:rsidRDefault="00F1121E" w:rsidP="00F1121E">
      <w:pPr>
        <w:widowControl w:val="0"/>
        <w:suppressAutoHyphens/>
        <w:ind w:right="57"/>
        <w:contextualSpacing/>
        <w:rPr>
          <w:rFonts w:eastAsia="Calibri"/>
          <w:kern w:val="2"/>
          <w:lang w:val="en-US"/>
          <w14:ligatures w14:val="standardContextual"/>
        </w:rPr>
      </w:pPr>
      <w:r w:rsidRPr="00F1121E">
        <w:rPr>
          <w:rFonts w:eastAsia="Calibri"/>
          <w:kern w:val="2"/>
          <w14:ligatures w14:val="standardContextual"/>
        </w:rPr>
        <w:t>Пределы максимального количества (QM и QMA) из перечня исходных веществ для органических материалов, утвержденного в соответствии с пунктом 6 Регламента, применяются независимо от группы изделий конечных органических материалов.</w:t>
      </w:r>
    </w:p>
    <w:p w14:paraId="7BF2789B" w14:textId="77777777" w:rsidR="00F1121E" w:rsidRPr="00F1121E" w:rsidRDefault="00F1121E" w:rsidP="00F1121E">
      <w:pPr>
        <w:widowControl w:val="0"/>
        <w:suppressAutoHyphens/>
        <w:ind w:right="57"/>
        <w:contextualSpacing/>
        <w:rPr>
          <w:rFonts w:eastAsia="Calibri"/>
          <w:kern w:val="2"/>
          <w14:ligatures w14:val="standardContextual"/>
        </w:rPr>
      </w:pPr>
      <w:r w:rsidRPr="00F1121E">
        <w:rPr>
          <w:rFonts w:eastAsia="Calibri"/>
          <w:b/>
          <w:kern w:val="2"/>
          <w14:ligatures w14:val="standardContextual"/>
        </w:rPr>
        <w:t>14</w:t>
      </w:r>
      <w:r w:rsidRPr="00F1121E">
        <w:rPr>
          <w:rFonts w:eastAsia="Calibri"/>
          <w:kern w:val="2"/>
          <w14:ligatures w14:val="standardContextual"/>
        </w:rPr>
        <w:t>.</w:t>
      </w:r>
      <w:r w:rsidRPr="00F1121E">
        <w:rPr>
          <w:rFonts w:eastAsia="Calibri"/>
          <w:kern w:val="2"/>
          <w:lang w:val="en-US"/>
          <w14:ligatures w14:val="standardContextual"/>
        </w:rPr>
        <w:t> </w:t>
      </w:r>
      <w:r w:rsidRPr="00F1121E">
        <w:rPr>
          <w:rFonts w:eastAsia="Calibri"/>
          <w:kern w:val="2"/>
          <w14:ligatures w14:val="standardContextual"/>
        </w:rPr>
        <w:t>Критерии приемки/отклонения чистоты для пигментов, красителей и наполнителей</w:t>
      </w:r>
    </w:p>
    <w:p w14:paraId="319357B8" w14:textId="5550C3E5" w:rsidR="00F1121E" w:rsidRPr="00F1121E" w:rsidRDefault="00F1121E" w:rsidP="00F1121E">
      <w:pPr>
        <w:widowControl w:val="0"/>
        <w:suppressAutoHyphens/>
        <w:ind w:right="57"/>
        <w:contextualSpacing/>
        <w:rPr>
          <w:lang w:val="en-US"/>
        </w:rPr>
      </w:pPr>
      <w:r w:rsidRPr="00F1121E">
        <w:rPr>
          <w:rFonts w:eastAsia="Calibri"/>
          <w:kern w:val="2"/>
          <w14:ligatures w14:val="standardContextual"/>
        </w:rPr>
        <w:t>Пигменты, красители и наполнители должны соответствовать требованиям чистоты в соответствии с таблицей 8, если соответствующие вещества не были проанализированы как вещества, имеющие значение в миграционных водах. Экстракция 0,1 N соляной кислотой проводится в соответствии с процедурой, описанной в Резолюции AP(89)1 Совета Европы об использовании красителей в пластмассах, контактирующих с пищевыми продуктами.</w:t>
      </w:r>
    </w:p>
    <w:p w14:paraId="7C990AE7" w14:textId="77777777" w:rsidR="00F1121E" w:rsidRPr="00F1121E" w:rsidRDefault="00F1121E" w:rsidP="00F1121E">
      <w:pPr>
        <w:widowControl w:val="0"/>
        <w:suppressAutoHyphens/>
        <w:ind w:right="57"/>
        <w:contextualSpacing/>
      </w:pPr>
    </w:p>
    <w:p w14:paraId="164430B0" w14:textId="77777777" w:rsidR="00F1121E" w:rsidRPr="00F1121E" w:rsidRDefault="00F1121E" w:rsidP="00F1121E">
      <w:pPr>
        <w:widowControl w:val="0"/>
        <w:suppressAutoHyphens/>
        <w:ind w:right="57"/>
        <w:contextualSpacing/>
        <w:jc w:val="right"/>
        <w:rPr>
          <w:iCs/>
        </w:rPr>
      </w:pPr>
      <w:r w:rsidRPr="00F1121E">
        <w:rPr>
          <w:iCs/>
        </w:rPr>
        <w:t>Таблица 8</w:t>
      </w:r>
    </w:p>
    <w:p w14:paraId="510C91A6" w14:textId="77777777" w:rsidR="00F1121E" w:rsidRPr="00F1121E" w:rsidRDefault="00F1121E" w:rsidP="00F1121E">
      <w:pPr>
        <w:widowControl w:val="0"/>
        <w:suppressAutoHyphens/>
        <w:ind w:right="57"/>
        <w:contextualSpacing/>
        <w:jc w:val="right"/>
        <w:rPr>
          <w:i/>
        </w:rPr>
      </w:pPr>
    </w:p>
    <w:p w14:paraId="6A3C729B" w14:textId="77777777" w:rsidR="00F1121E" w:rsidRPr="00F1121E" w:rsidRDefault="00F1121E" w:rsidP="00F1121E">
      <w:pPr>
        <w:widowControl w:val="0"/>
        <w:suppressAutoHyphens/>
        <w:ind w:right="57" w:firstLine="0"/>
        <w:contextualSpacing/>
        <w:jc w:val="center"/>
        <w:rPr>
          <w:b/>
          <w:bCs/>
        </w:rPr>
      </w:pPr>
      <w:r w:rsidRPr="00F1121E">
        <w:rPr>
          <w:b/>
          <w:bCs/>
        </w:rPr>
        <w:t>Требования к чистоте пигментов, красителей и наполнителей</w:t>
      </w:r>
    </w:p>
    <w:p w14:paraId="2C059454" w14:textId="77777777" w:rsidR="00F1121E" w:rsidRPr="00F1121E" w:rsidRDefault="00F1121E" w:rsidP="00F1121E">
      <w:pPr>
        <w:widowControl w:val="0"/>
        <w:suppressAutoHyphens/>
        <w:ind w:right="57"/>
        <w:contextualSpacing/>
        <w:rPr>
          <w:b/>
          <w:b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5"/>
        <w:gridCol w:w="4531"/>
      </w:tblGrid>
      <w:tr w:rsidR="00F1121E" w:rsidRPr="00F1121E" w14:paraId="520B1658" w14:textId="77777777" w:rsidTr="000E6E1F">
        <w:trPr>
          <w:trHeight w:hRule="exact" w:val="338"/>
        </w:trPr>
        <w:tc>
          <w:tcPr>
            <w:tcW w:w="9106" w:type="dxa"/>
            <w:gridSpan w:val="2"/>
          </w:tcPr>
          <w:p w14:paraId="6D182332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rPr>
                <w:b/>
                <w:bCs/>
              </w:rPr>
              <w:t>Пигменты и красители</w:t>
            </w:r>
          </w:p>
        </w:tc>
      </w:tr>
      <w:tr w:rsidR="00F1121E" w:rsidRPr="00F1121E" w14:paraId="584D7AD0" w14:textId="77777777" w:rsidTr="000E6E1F">
        <w:trPr>
          <w:trHeight w:hRule="exact" w:val="375"/>
        </w:trPr>
        <w:tc>
          <w:tcPr>
            <w:tcW w:w="9106" w:type="dxa"/>
            <w:gridSpan w:val="2"/>
          </w:tcPr>
          <w:p w14:paraId="0E651E71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Красители и пигменты должны соответствовать следующим требованиям по чистоте:</w:t>
            </w:r>
          </w:p>
        </w:tc>
      </w:tr>
      <w:tr w:rsidR="00F1121E" w:rsidRPr="00F1121E" w14:paraId="00C442CE" w14:textId="77777777" w:rsidTr="00F1121E">
        <w:trPr>
          <w:trHeight w:hRule="exact" w:val="2880"/>
        </w:trPr>
        <w:tc>
          <w:tcPr>
            <w:tcW w:w="4575" w:type="dxa"/>
          </w:tcPr>
          <w:p w14:paraId="2F6D6C62" w14:textId="77777777" w:rsidR="00F1121E" w:rsidRPr="00F1121E" w:rsidRDefault="00F1121E" w:rsidP="00F1121E">
            <w:pPr>
              <w:widowControl w:val="0"/>
              <w:numPr>
                <w:ilvl w:val="0"/>
                <w:numId w:val="22"/>
              </w:numPr>
              <w:suppressAutoHyphens/>
              <w:ind w:left="0" w:right="57" w:firstLine="0"/>
              <w:contextualSpacing/>
            </w:pPr>
            <w:r w:rsidRPr="00F1121E">
              <w:lastRenderedPageBreak/>
              <w:t>при экстракции 0,1 N соляной кислотой из красителя или пигмента могут растворяться следующие элементы в максимальном количестве, исходя из количества красителя или пигмента:</w:t>
            </w:r>
          </w:p>
          <w:p w14:paraId="13E3B7E2" w14:textId="77777777" w:rsidR="00F1121E" w:rsidRPr="00F1121E" w:rsidRDefault="00F1121E" w:rsidP="00F1121E">
            <w:pPr>
              <w:widowControl w:val="0"/>
              <w:numPr>
                <w:ilvl w:val="0"/>
                <w:numId w:val="23"/>
              </w:numPr>
              <w:suppressAutoHyphens/>
              <w:ind w:left="0" w:right="57" w:firstLine="0"/>
              <w:contextualSpacing/>
            </w:pPr>
            <w:r w:rsidRPr="00F1121E">
              <w:t>сурьма 0,05 %</w:t>
            </w:r>
          </w:p>
          <w:p w14:paraId="22120922" w14:textId="77777777" w:rsidR="00F1121E" w:rsidRPr="00F1121E" w:rsidRDefault="00F1121E" w:rsidP="00F1121E">
            <w:pPr>
              <w:widowControl w:val="0"/>
              <w:numPr>
                <w:ilvl w:val="0"/>
                <w:numId w:val="23"/>
              </w:numPr>
              <w:suppressAutoHyphens/>
              <w:ind w:left="0" w:right="57" w:firstLine="0"/>
              <w:contextualSpacing/>
            </w:pPr>
            <w:r w:rsidRPr="00F1121E">
              <w:t>мышьяк 0,01 %</w:t>
            </w:r>
          </w:p>
          <w:p w14:paraId="28F52163" w14:textId="77777777" w:rsidR="00F1121E" w:rsidRPr="00F1121E" w:rsidRDefault="00F1121E" w:rsidP="00F1121E">
            <w:pPr>
              <w:widowControl w:val="0"/>
              <w:numPr>
                <w:ilvl w:val="0"/>
                <w:numId w:val="23"/>
              </w:numPr>
              <w:suppressAutoHyphens/>
              <w:ind w:left="0" w:right="57" w:firstLine="0"/>
              <w:contextualSpacing/>
            </w:pPr>
            <w:r w:rsidRPr="00F1121E">
              <w:t>барий 0,01 %</w:t>
            </w:r>
          </w:p>
          <w:p w14:paraId="5F0EAA1B" w14:textId="77777777" w:rsidR="00F1121E" w:rsidRPr="00F1121E" w:rsidRDefault="00F1121E" w:rsidP="00F1121E">
            <w:pPr>
              <w:widowControl w:val="0"/>
              <w:numPr>
                <w:ilvl w:val="0"/>
                <w:numId w:val="23"/>
              </w:numPr>
              <w:suppressAutoHyphens/>
              <w:ind w:left="0" w:right="57" w:firstLine="0"/>
              <w:contextualSpacing/>
            </w:pPr>
            <w:r w:rsidRPr="00F1121E">
              <w:t>кадмий 0,01 %</w:t>
            </w:r>
          </w:p>
          <w:p w14:paraId="50A0B12A" w14:textId="77777777" w:rsidR="00F1121E" w:rsidRPr="00F1121E" w:rsidRDefault="00F1121E" w:rsidP="00F1121E">
            <w:pPr>
              <w:widowControl w:val="0"/>
              <w:numPr>
                <w:ilvl w:val="0"/>
                <w:numId w:val="23"/>
              </w:numPr>
              <w:suppressAutoHyphens/>
              <w:ind w:left="0" w:right="57" w:firstLine="0"/>
              <w:contextualSpacing/>
            </w:pPr>
            <w:r w:rsidRPr="00F1121E">
              <w:t>хром 0,1 %</w:t>
            </w:r>
          </w:p>
          <w:p w14:paraId="3FB96C8D" w14:textId="77777777" w:rsidR="00F1121E" w:rsidRPr="00F1121E" w:rsidRDefault="00F1121E" w:rsidP="00F1121E">
            <w:pPr>
              <w:widowControl w:val="0"/>
              <w:numPr>
                <w:ilvl w:val="0"/>
                <w:numId w:val="23"/>
              </w:numPr>
              <w:suppressAutoHyphens/>
              <w:ind w:left="0" w:right="57" w:firstLine="0"/>
              <w:contextualSpacing/>
            </w:pPr>
            <w:r w:rsidRPr="00F1121E">
              <w:t>свинец 0,01 %</w:t>
            </w:r>
          </w:p>
          <w:p w14:paraId="47864453" w14:textId="77777777" w:rsidR="00F1121E" w:rsidRPr="00F1121E" w:rsidRDefault="00F1121E" w:rsidP="00F1121E">
            <w:pPr>
              <w:widowControl w:val="0"/>
              <w:numPr>
                <w:ilvl w:val="0"/>
                <w:numId w:val="23"/>
              </w:numPr>
              <w:suppressAutoHyphens/>
              <w:ind w:left="0" w:right="57" w:firstLine="0"/>
              <w:contextualSpacing/>
            </w:pPr>
            <w:r w:rsidRPr="00F1121E">
              <w:t>ртуть 0,005 %</w:t>
            </w:r>
          </w:p>
          <w:p w14:paraId="04F7FB99" w14:textId="77777777" w:rsidR="00F1121E" w:rsidRPr="00F1121E" w:rsidRDefault="00F1121E" w:rsidP="00F1121E">
            <w:pPr>
              <w:widowControl w:val="0"/>
              <w:numPr>
                <w:ilvl w:val="0"/>
                <w:numId w:val="23"/>
              </w:numPr>
              <w:suppressAutoHyphens/>
              <w:ind w:left="0" w:right="57" w:firstLine="0"/>
              <w:contextualSpacing/>
            </w:pPr>
            <w:r w:rsidRPr="00F1121E">
              <w:t>селен 0,01 %</w:t>
            </w:r>
          </w:p>
        </w:tc>
        <w:tc>
          <w:tcPr>
            <w:tcW w:w="4531" w:type="dxa"/>
          </w:tcPr>
          <w:p w14:paraId="387BCF16" w14:textId="77777777" w:rsidR="00F1121E" w:rsidRPr="00F1121E" w:rsidRDefault="00F1121E" w:rsidP="000E6E1F">
            <w:pPr>
              <w:widowControl w:val="0"/>
              <w:suppressAutoHyphens/>
              <w:ind w:left="103" w:right="57" w:firstLine="0"/>
            </w:pPr>
            <w:r w:rsidRPr="00F1121E">
              <w:t>b) Содержание первичных ароматических аминов, растворимых в 1 М соляной кислоте, не должно превышать 0,05 % (в пересчете на анилин). Это ограничение не распространяется на первичные ароматические амины, содержащие карбоксильные, сульфо- или -группы. При экстракции 2 N этанольной соляной кислотой из красителя или пигмента может быть растворено не более 0,05 % ароматических аминов (в расчете на краситель или пигмент)</w:t>
            </w:r>
          </w:p>
        </w:tc>
      </w:tr>
      <w:tr w:rsidR="00F1121E" w:rsidRPr="00F1121E" w14:paraId="30A0F142" w14:textId="77777777" w:rsidTr="000E6E1F">
        <w:trPr>
          <w:trHeight w:hRule="exact" w:val="412"/>
        </w:trPr>
        <w:tc>
          <w:tcPr>
            <w:tcW w:w="9106" w:type="dxa"/>
            <w:gridSpan w:val="2"/>
          </w:tcPr>
          <w:p w14:paraId="04439B14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rPr>
                <w:b/>
                <w:bCs/>
              </w:rPr>
              <w:t>Наполнители</w:t>
            </w:r>
          </w:p>
        </w:tc>
      </w:tr>
      <w:tr w:rsidR="00F1121E" w:rsidRPr="00F1121E" w14:paraId="22803F41" w14:textId="77777777" w:rsidTr="000E6E1F">
        <w:trPr>
          <w:trHeight w:hRule="exact" w:val="579"/>
        </w:trPr>
        <w:tc>
          <w:tcPr>
            <w:tcW w:w="9106" w:type="dxa"/>
            <w:gridSpan w:val="2"/>
          </w:tcPr>
          <w:p w14:paraId="29544FA5" w14:textId="77777777" w:rsidR="00F1121E" w:rsidRPr="00F1121E" w:rsidRDefault="00F1121E" w:rsidP="000E6E1F">
            <w:pPr>
              <w:widowControl w:val="0"/>
              <w:suppressAutoHyphens/>
              <w:ind w:left="142" w:right="57" w:firstLine="0"/>
            </w:pPr>
            <w:r w:rsidRPr="00F1121E">
              <w:t>Наполнители могут быть загрязнены примесями. Для минеральных наполнителей действует следующая спецификация:</w:t>
            </w:r>
          </w:p>
        </w:tc>
      </w:tr>
      <w:tr w:rsidR="00F1121E" w:rsidRPr="00F1121E" w14:paraId="09072B69" w14:textId="77777777" w:rsidTr="00F1121E">
        <w:trPr>
          <w:trHeight w:hRule="exact" w:val="2420"/>
        </w:trPr>
        <w:tc>
          <w:tcPr>
            <w:tcW w:w="9106" w:type="dxa"/>
            <w:gridSpan w:val="2"/>
          </w:tcPr>
          <w:p w14:paraId="2D075554" w14:textId="77777777" w:rsidR="00F1121E" w:rsidRPr="00F1121E" w:rsidRDefault="00F1121E" w:rsidP="000E6E1F">
            <w:pPr>
              <w:widowControl w:val="0"/>
              <w:suppressAutoHyphens/>
              <w:ind w:right="57" w:firstLine="0"/>
            </w:pPr>
            <w:r w:rsidRPr="00F1121E">
              <w:t>После растворения в 0,1 N соляной кислоте концентрация следующих элементов не должна превышать максимального количества, исходя из наполнителя:</w:t>
            </w:r>
          </w:p>
          <w:p w14:paraId="0D6135E6" w14:textId="77777777" w:rsidR="00F1121E" w:rsidRPr="00F1121E" w:rsidRDefault="00F1121E" w:rsidP="00F1121E">
            <w:pPr>
              <w:widowControl w:val="0"/>
              <w:numPr>
                <w:ilvl w:val="0"/>
                <w:numId w:val="24"/>
              </w:numPr>
              <w:suppressAutoHyphens/>
              <w:ind w:left="0" w:right="57" w:firstLine="0"/>
              <w:contextualSpacing/>
            </w:pPr>
            <w:r w:rsidRPr="00F1121E">
              <w:t>сурьма 0,005 %</w:t>
            </w:r>
          </w:p>
          <w:p w14:paraId="655D6120" w14:textId="77777777" w:rsidR="00F1121E" w:rsidRPr="00F1121E" w:rsidRDefault="00F1121E" w:rsidP="00F1121E">
            <w:pPr>
              <w:widowControl w:val="0"/>
              <w:numPr>
                <w:ilvl w:val="0"/>
                <w:numId w:val="24"/>
              </w:numPr>
              <w:suppressAutoHyphens/>
              <w:ind w:left="0" w:right="57" w:firstLine="0"/>
              <w:contextualSpacing/>
            </w:pPr>
            <w:r w:rsidRPr="00F1121E">
              <w:t>мышьяк 0,01 %</w:t>
            </w:r>
          </w:p>
          <w:p w14:paraId="4A640365" w14:textId="77777777" w:rsidR="00F1121E" w:rsidRPr="00F1121E" w:rsidRDefault="00F1121E" w:rsidP="00F1121E">
            <w:pPr>
              <w:widowControl w:val="0"/>
              <w:numPr>
                <w:ilvl w:val="0"/>
                <w:numId w:val="24"/>
              </w:numPr>
              <w:suppressAutoHyphens/>
              <w:ind w:left="0" w:right="57" w:firstLine="0"/>
              <w:contextualSpacing/>
            </w:pPr>
            <w:r w:rsidRPr="00F1121E">
              <w:t>барий 0,01 %</w:t>
            </w:r>
          </w:p>
          <w:p w14:paraId="79E31819" w14:textId="77777777" w:rsidR="00F1121E" w:rsidRPr="00F1121E" w:rsidRDefault="00F1121E" w:rsidP="00F1121E">
            <w:pPr>
              <w:widowControl w:val="0"/>
              <w:numPr>
                <w:ilvl w:val="0"/>
                <w:numId w:val="24"/>
              </w:numPr>
              <w:suppressAutoHyphens/>
              <w:ind w:left="0" w:right="57" w:firstLine="0"/>
              <w:contextualSpacing/>
            </w:pPr>
            <w:r w:rsidRPr="00F1121E">
              <w:t>кадмий 0,01 %</w:t>
            </w:r>
          </w:p>
          <w:p w14:paraId="18207231" w14:textId="77777777" w:rsidR="00F1121E" w:rsidRPr="00F1121E" w:rsidRDefault="00F1121E" w:rsidP="00F1121E">
            <w:pPr>
              <w:widowControl w:val="0"/>
              <w:numPr>
                <w:ilvl w:val="0"/>
                <w:numId w:val="24"/>
              </w:numPr>
              <w:suppressAutoHyphens/>
              <w:ind w:left="0" w:right="57" w:firstLine="0"/>
              <w:contextualSpacing/>
            </w:pPr>
            <w:r w:rsidRPr="00F1121E">
              <w:t>хром 0,1 %</w:t>
            </w:r>
          </w:p>
          <w:p w14:paraId="2FC98610" w14:textId="77777777" w:rsidR="00F1121E" w:rsidRPr="00F1121E" w:rsidRDefault="00F1121E" w:rsidP="00F1121E">
            <w:pPr>
              <w:widowControl w:val="0"/>
              <w:numPr>
                <w:ilvl w:val="0"/>
                <w:numId w:val="24"/>
              </w:numPr>
              <w:suppressAutoHyphens/>
              <w:ind w:left="0" w:right="57" w:firstLine="0"/>
              <w:contextualSpacing/>
            </w:pPr>
            <w:r w:rsidRPr="00F1121E">
              <w:t>свинец 0,01 %</w:t>
            </w:r>
          </w:p>
          <w:p w14:paraId="6128D97E" w14:textId="77777777" w:rsidR="00F1121E" w:rsidRPr="00F1121E" w:rsidRDefault="00F1121E" w:rsidP="00F1121E">
            <w:pPr>
              <w:widowControl w:val="0"/>
              <w:numPr>
                <w:ilvl w:val="0"/>
                <w:numId w:val="24"/>
              </w:numPr>
              <w:suppressAutoHyphens/>
              <w:ind w:left="0" w:right="57" w:firstLine="0"/>
              <w:contextualSpacing/>
            </w:pPr>
            <w:r w:rsidRPr="00F1121E">
              <w:t>ртуть 0,0005 %</w:t>
            </w:r>
          </w:p>
          <w:p w14:paraId="772CB420" w14:textId="77777777" w:rsidR="00F1121E" w:rsidRPr="00F1121E" w:rsidRDefault="00F1121E" w:rsidP="00F1121E">
            <w:pPr>
              <w:widowControl w:val="0"/>
              <w:numPr>
                <w:ilvl w:val="0"/>
                <w:numId w:val="24"/>
              </w:numPr>
              <w:suppressAutoHyphens/>
              <w:ind w:left="0" w:right="57" w:firstLine="0"/>
              <w:contextualSpacing/>
            </w:pPr>
            <w:r w:rsidRPr="00F1121E">
              <w:t>селен 0,01 %</w:t>
            </w:r>
          </w:p>
        </w:tc>
      </w:tr>
    </w:tbl>
    <w:p w14:paraId="73191151" w14:textId="77777777" w:rsidR="00F1121E" w:rsidRPr="00F1121E" w:rsidRDefault="00F1121E" w:rsidP="00F1121E">
      <w:pPr>
        <w:ind w:right="57"/>
      </w:pPr>
    </w:p>
    <w:p w14:paraId="1AEF0796" w14:textId="0D7B7C00" w:rsidR="00F7571C" w:rsidRPr="00F1121E" w:rsidRDefault="00F7571C" w:rsidP="00F1121E">
      <w:pPr>
        <w:ind w:firstLine="0"/>
        <w:rPr>
          <w:lang w:val="en-US"/>
        </w:rPr>
      </w:pPr>
    </w:p>
    <w:sectPr w:rsidR="00F7571C" w:rsidRPr="00F112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CC"/>
    <w:family w:val="swiss"/>
    <w:pitch w:val="variable"/>
    <w:sig w:usb0="E7002EFF" w:usb1="D200FDFF" w:usb2="0A046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B83B7B"/>
    <w:multiLevelType w:val="hybridMultilevel"/>
    <w:tmpl w:val="46442FC8"/>
    <w:lvl w:ilvl="0" w:tplc="67C66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A3DE2"/>
    <w:multiLevelType w:val="hybridMultilevel"/>
    <w:tmpl w:val="DA56BE0E"/>
    <w:lvl w:ilvl="0" w:tplc="D20CCAE2">
      <w:start w:val="1"/>
      <w:numFmt w:val="lowerLetter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C8F02E7"/>
    <w:multiLevelType w:val="multilevel"/>
    <w:tmpl w:val="92880B62"/>
    <w:lvl w:ilvl="0">
      <w:start w:val="1"/>
      <w:numFmt w:val="decimal"/>
      <w:suff w:val="space"/>
      <w:lvlText w:val="%1."/>
      <w:lvlJc w:val="left"/>
      <w:pPr>
        <w:ind w:left="960" w:hanging="60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10" w:hanging="105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10" w:hanging="105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6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302F2727"/>
    <w:multiLevelType w:val="hybridMultilevel"/>
    <w:tmpl w:val="77241E92"/>
    <w:lvl w:ilvl="0" w:tplc="44B89972">
      <w:start w:val="1"/>
      <w:numFmt w:val="bullet"/>
      <w:suff w:val="space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53E66C0F"/>
    <w:multiLevelType w:val="hybridMultilevel"/>
    <w:tmpl w:val="4B9863DE"/>
    <w:lvl w:ilvl="0" w:tplc="0A6878D6">
      <w:start w:val="1"/>
      <w:numFmt w:val="bullet"/>
      <w:suff w:val="space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CB1682"/>
    <w:multiLevelType w:val="hybridMultilevel"/>
    <w:tmpl w:val="69266A86"/>
    <w:lvl w:ilvl="0" w:tplc="67C66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20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4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8A3406"/>
    <w:multiLevelType w:val="multilevel"/>
    <w:tmpl w:val="04CE97FA"/>
    <w:lvl w:ilvl="0">
      <w:start w:val="1"/>
      <w:numFmt w:val="decimal"/>
      <w:suff w:val="space"/>
      <w:lvlText w:val="%1."/>
      <w:lvlJc w:val="left"/>
      <w:pPr>
        <w:ind w:left="1615" w:hanging="4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65" w:hanging="91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340" w:hanging="915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5" w:hanging="2160"/>
      </w:pPr>
      <w:rPr>
        <w:rFonts w:hint="default"/>
      </w:rPr>
    </w:lvl>
  </w:abstractNum>
  <w:num w:numId="1" w16cid:durableId="1038047296">
    <w:abstractNumId w:val="0"/>
  </w:num>
  <w:num w:numId="2" w16cid:durableId="351227651">
    <w:abstractNumId w:val="9"/>
  </w:num>
  <w:num w:numId="3" w16cid:durableId="1102187883">
    <w:abstractNumId w:val="13"/>
  </w:num>
  <w:num w:numId="4" w16cid:durableId="1098908101">
    <w:abstractNumId w:val="5"/>
  </w:num>
  <w:num w:numId="5" w16cid:durableId="572853831">
    <w:abstractNumId w:val="23"/>
  </w:num>
  <w:num w:numId="6" w16cid:durableId="2031642376">
    <w:abstractNumId w:val="19"/>
  </w:num>
  <w:num w:numId="7" w16cid:durableId="1686787575">
    <w:abstractNumId w:val="11"/>
  </w:num>
  <w:num w:numId="8" w16cid:durableId="716901916">
    <w:abstractNumId w:val="8"/>
  </w:num>
  <w:num w:numId="9" w16cid:durableId="908538689">
    <w:abstractNumId w:val="24"/>
  </w:num>
  <w:num w:numId="10" w16cid:durableId="624045359">
    <w:abstractNumId w:val="12"/>
  </w:num>
  <w:num w:numId="11" w16cid:durableId="789276280">
    <w:abstractNumId w:val="21"/>
  </w:num>
  <w:num w:numId="12" w16cid:durableId="1736201142">
    <w:abstractNumId w:val="20"/>
  </w:num>
  <w:num w:numId="13" w16cid:durableId="1836527829">
    <w:abstractNumId w:val="15"/>
  </w:num>
  <w:num w:numId="14" w16cid:durableId="2032993778">
    <w:abstractNumId w:val="4"/>
  </w:num>
  <w:num w:numId="15" w16cid:durableId="1154760362">
    <w:abstractNumId w:val="22"/>
  </w:num>
  <w:num w:numId="16" w16cid:durableId="1359046885">
    <w:abstractNumId w:val="7"/>
  </w:num>
  <w:num w:numId="17" w16cid:durableId="104470687">
    <w:abstractNumId w:val="16"/>
  </w:num>
  <w:num w:numId="18" w16cid:durableId="1368987338">
    <w:abstractNumId w:val="6"/>
  </w:num>
  <w:num w:numId="19" w16cid:durableId="230627226">
    <w:abstractNumId w:val="18"/>
  </w:num>
  <w:num w:numId="20" w16cid:durableId="616958510">
    <w:abstractNumId w:val="25"/>
  </w:num>
  <w:num w:numId="21" w16cid:durableId="719935203">
    <w:abstractNumId w:val="3"/>
  </w:num>
  <w:num w:numId="22" w16cid:durableId="1432700727">
    <w:abstractNumId w:val="2"/>
  </w:num>
  <w:num w:numId="23" w16cid:durableId="185486674">
    <w:abstractNumId w:val="10"/>
  </w:num>
  <w:num w:numId="24" w16cid:durableId="1186603078">
    <w:abstractNumId w:val="14"/>
  </w:num>
  <w:num w:numId="25" w16cid:durableId="650477064">
    <w:abstractNumId w:val="17"/>
  </w:num>
  <w:num w:numId="26" w16cid:durableId="1284121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8AC"/>
    <w:rsid w:val="000208AC"/>
    <w:rsid w:val="00AD7C19"/>
    <w:rsid w:val="00E6197B"/>
    <w:rsid w:val="00F1121E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5DA7D"/>
  <w15:chartTrackingRefBased/>
  <w15:docId w15:val="{3BC8C658-4550-4558-9BE2-71AD9F88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20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20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nhideWhenUsed/>
    <w:qFormat/>
    <w:rsid w:val="000208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208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nhideWhenUsed/>
    <w:qFormat/>
    <w:rsid w:val="000208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nhideWhenUsed/>
    <w:qFormat/>
    <w:rsid w:val="000208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nhideWhenUsed/>
    <w:qFormat/>
    <w:rsid w:val="000208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nhideWhenUsed/>
    <w:qFormat/>
    <w:rsid w:val="000208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nhideWhenUsed/>
    <w:qFormat/>
    <w:rsid w:val="000208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208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208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rsid w:val="000208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208A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rsid w:val="000208A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rsid w:val="000208A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rsid w:val="000208A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rsid w:val="000208A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rsid w:val="000208A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208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020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208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20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20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208A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208A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0208A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208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208A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208AC"/>
    <w:rPr>
      <w:b/>
      <w:bCs/>
      <w:smallCaps/>
      <w:color w:val="2F5496" w:themeColor="accent1" w:themeShade="BF"/>
      <w:spacing w:val="5"/>
    </w:rPr>
  </w:style>
  <w:style w:type="paragraph" w:customStyle="1" w:styleId="news">
    <w:name w:val="news"/>
    <w:basedOn w:val="Normal"/>
    <w:rsid w:val="00F1121E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F1121E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F1121E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F1121E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F1121E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NormalWeb">
    <w:name w:val="Normal (Web)"/>
    <w:basedOn w:val="Normal"/>
    <w:link w:val="NormalWebCaracter"/>
    <w:uiPriority w:val="99"/>
    <w:unhideWhenUsed/>
    <w:rsid w:val="00F1121E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uiPriority w:val="99"/>
    <w:locked/>
    <w:rsid w:val="00F1121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styleId="Hyperlink">
    <w:name w:val="Hyperlink"/>
    <w:basedOn w:val="Fontdeparagrafimplicit"/>
    <w:uiPriority w:val="99"/>
    <w:unhideWhenUsed/>
    <w:rsid w:val="00F1121E"/>
    <w:rPr>
      <w:color w:val="0000FF"/>
      <w:u w:val="single"/>
    </w:rPr>
  </w:style>
  <w:style w:type="paragraph" w:customStyle="1" w:styleId="cn">
    <w:name w:val="cn"/>
    <w:basedOn w:val="Normal"/>
    <w:rsid w:val="00F1121E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F1121E"/>
  </w:style>
  <w:style w:type="paragraph" w:styleId="TextnBalon">
    <w:name w:val="Balloon Text"/>
    <w:basedOn w:val="Normal"/>
    <w:link w:val="TextnBalonCaracter"/>
    <w:uiPriority w:val="99"/>
    <w:semiHidden/>
    <w:unhideWhenUsed/>
    <w:rsid w:val="00F1121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121E"/>
    <w:rPr>
      <w:rFonts w:ascii="Tahoma" w:eastAsia="Times New Roman" w:hAnsi="Tahoma" w:cs="Tahoma"/>
      <w:kern w:val="0"/>
      <w:sz w:val="16"/>
      <w:szCs w:val="16"/>
      <w:lang w:val="ru-RU"/>
      <w14:ligatures w14:val="none"/>
    </w:rPr>
  </w:style>
  <w:style w:type="paragraph" w:customStyle="1" w:styleId="tt">
    <w:name w:val="tt"/>
    <w:basedOn w:val="Normal"/>
    <w:rsid w:val="00F1121E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F1121E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F112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styleId="Corptext">
    <w:name w:val="Body Text"/>
    <w:basedOn w:val="Normal"/>
    <w:link w:val="CorptextCaracter"/>
    <w:rsid w:val="00F1121E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rsid w:val="00F1121E"/>
    <w:rPr>
      <w:rFonts w:ascii="Cambria" w:eastAsia="Times New Roman" w:hAnsi="Cambria" w:cs="Times New Roman"/>
      <w:kern w:val="0"/>
      <w:lang w:val="ru-RU" w:eastAsia="ar-SA"/>
      <w14:ligatures w14:val="none"/>
    </w:rPr>
  </w:style>
  <w:style w:type="character" w:customStyle="1" w:styleId="WW8Num1z0">
    <w:name w:val="WW8Num1z0"/>
    <w:rsid w:val="00F1121E"/>
    <w:rPr>
      <w:rFonts w:ascii="Wingdings 2" w:hAnsi="Wingdings 2"/>
    </w:rPr>
  </w:style>
  <w:style w:type="character" w:customStyle="1" w:styleId="WW8Num6z0">
    <w:name w:val="WW8Num6z0"/>
    <w:rsid w:val="00F1121E"/>
    <w:rPr>
      <w:rFonts w:ascii="Wingdings" w:hAnsi="Wingdings"/>
      <w:sz w:val="16"/>
    </w:rPr>
  </w:style>
  <w:style w:type="character" w:customStyle="1" w:styleId="WW8Num6z1">
    <w:name w:val="WW8Num6z1"/>
    <w:rsid w:val="00F1121E"/>
    <w:rPr>
      <w:rFonts w:ascii="Courier New" w:hAnsi="Courier New"/>
    </w:rPr>
  </w:style>
  <w:style w:type="character" w:customStyle="1" w:styleId="WW8Num6z2">
    <w:name w:val="WW8Num6z2"/>
    <w:rsid w:val="00F1121E"/>
    <w:rPr>
      <w:rFonts w:ascii="Wingdings" w:hAnsi="Wingdings"/>
    </w:rPr>
  </w:style>
  <w:style w:type="character" w:customStyle="1" w:styleId="WW8Num6z3">
    <w:name w:val="WW8Num6z3"/>
    <w:rsid w:val="00F1121E"/>
    <w:rPr>
      <w:rFonts w:ascii="Symbol" w:hAnsi="Symbol"/>
    </w:rPr>
  </w:style>
  <w:style w:type="character" w:customStyle="1" w:styleId="WW8Num7z0">
    <w:name w:val="WW8Num7z0"/>
    <w:rsid w:val="00F1121E"/>
    <w:rPr>
      <w:rFonts w:ascii="Symbol" w:hAnsi="Symbol"/>
    </w:rPr>
  </w:style>
  <w:style w:type="character" w:customStyle="1" w:styleId="WW8Num10z0">
    <w:name w:val="WW8Num10z0"/>
    <w:rsid w:val="00F1121E"/>
    <w:rPr>
      <w:rFonts w:ascii="Symbol" w:hAnsi="Symbol"/>
    </w:rPr>
  </w:style>
  <w:style w:type="character" w:customStyle="1" w:styleId="WW8Num10z1">
    <w:name w:val="WW8Num10z1"/>
    <w:rsid w:val="00F1121E"/>
    <w:rPr>
      <w:rFonts w:ascii="Courier New" w:hAnsi="Courier New"/>
    </w:rPr>
  </w:style>
  <w:style w:type="character" w:customStyle="1" w:styleId="WW8Num10z2">
    <w:name w:val="WW8Num10z2"/>
    <w:rsid w:val="00F1121E"/>
    <w:rPr>
      <w:rFonts w:ascii="Wingdings" w:hAnsi="Wingdings"/>
    </w:rPr>
  </w:style>
  <w:style w:type="character" w:customStyle="1" w:styleId="WW8Num11z0">
    <w:name w:val="WW8Num11z0"/>
    <w:rsid w:val="00F1121E"/>
    <w:rPr>
      <w:rFonts w:ascii="Symbol" w:hAnsi="Symbol"/>
    </w:rPr>
  </w:style>
  <w:style w:type="character" w:customStyle="1" w:styleId="WW8Num11z1">
    <w:name w:val="WW8Num11z1"/>
    <w:rsid w:val="00F1121E"/>
    <w:rPr>
      <w:rFonts w:ascii="Courier New" w:hAnsi="Courier New"/>
    </w:rPr>
  </w:style>
  <w:style w:type="character" w:customStyle="1" w:styleId="WW8Num11z2">
    <w:name w:val="WW8Num11z2"/>
    <w:rsid w:val="00F1121E"/>
    <w:rPr>
      <w:rFonts w:ascii="Wingdings" w:hAnsi="Wingdings"/>
    </w:rPr>
  </w:style>
  <w:style w:type="character" w:customStyle="1" w:styleId="WW8Num12z0">
    <w:name w:val="WW8Num12z0"/>
    <w:rsid w:val="00F1121E"/>
    <w:rPr>
      <w:rFonts w:ascii="Symbol" w:hAnsi="Symbol"/>
    </w:rPr>
  </w:style>
  <w:style w:type="character" w:customStyle="1" w:styleId="WW8Num12z1">
    <w:name w:val="WW8Num12z1"/>
    <w:rsid w:val="00F1121E"/>
    <w:rPr>
      <w:rFonts w:ascii="Courier New" w:hAnsi="Courier New"/>
    </w:rPr>
  </w:style>
  <w:style w:type="character" w:customStyle="1" w:styleId="WW8Num12z2">
    <w:name w:val="WW8Num12z2"/>
    <w:rsid w:val="00F1121E"/>
    <w:rPr>
      <w:rFonts w:ascii="Wingdings" w:hAnsi="Wingdings"/>
    </w:rPr>
  </w:style>
  <w:style w:type="character" w:customStyle="1" w:styleId="WW8Num13z0">
    <w:name w:val="WW8Num13z0"/>
    <w:rsid w:val="00F1121E"/>
    <w:rPr>
      <w:rFonts w:ascii="Wingdings" w:hAnsi="Wingdings"/>
      <w:sz w:val="16"/>
    </w:rPr>
  </w:style>
  <w:style w:type="character" w:customStyle="1" w:styleId="WW8Num13z1">
    <w:name w:val="WW8Num13z1"/>
    <w:rsid w:val="00F1121E"/>
    <w:rPr>
      <w:rFonts w:ascii="Courier New" w:hAnsi="Courier New"/>
    </w:rPr>
  </w:style>
  <w:style w:type="character" w:customStyle="1" w:styleId="WW8Num13z2">
    <w:name w:val="WW8Num13z2"/>
    <w:rsid w:val="00F1121E"/>
    <w:rPr>
      <w:rFonts w:ascii="Wingdings" w:hAnsi="Wingdings"/>
    </w:rPr>
  </w:style>
  <w:style w:type="character" w:customStyle="1" w:styleId="WW8Num13z3">
    <w:name w:val="WW8Num13z3"/>
    <w:rsid w:val="00F1121E"/>
    <w:rPr>
      <w:rFonts w:ascii="Symbol" w:hAnsi="Symbol"/>
    </w:rPr>
  </w:style>
  <w:style w:type="character" w:customStyle="1" w:styleId="WW8Num15z0">
    <w:name w:val="WW8Num15z0"/>
    <w:rsid w:val="00F1121E"/>
    <w:rPr>
      <w:rFonts w:ascii="Times New Roman" w:hAnsi="Times New Roman"/>
    </w:rPr>
  </w:style>
  <w:style w:type="character" w:customStyle="1" w:styleId="WW8Num16z0">
    <w:name w:val="WW8Num16z0"/>
    <w:rsid w:val="00F1121E"/>
    <w:rPr>
      <w:rFonts w:ascii="Symbol" w:hAnsi="Symbol"/>
      <w:sz w:val="16"/>
    </w:rPr>
  </w:style>
  <w:style w:type="character" w:customStyle="1" w:styleId="WW8Num17z0">
    <w:name w:val="WW8Num17z0"/>
    <w:rsid w:val="00F1121E"/>
    <w:rPr>
      <w:rFonts w:ascii="Times New Roman" w:hAnsi="Times New Roman"/>
    </w:rPr>
  </w:style>
  <w:style w:type="character" w:customStyle="1" w:styleId="WW8Num17z1">
    <w:name w:val="WW8Num17z1"/>
    <w:rsid w:val="00F1121E"/>
    <w:rPr>
      <w:rFonts w:ascii="Courier New" w:hAnsi="Courier New"/>
    </w:rPr>
  </w:style>
  <w:style w:type="character" w:customStyle="1" w:styleId="WW8Num17z2">
    <w:name w:val="WW8Num17z2"/>
    <w:rsid w:val="00F1121E"/>
    <w:rPr>
      <w:rFonts w:ascii="Wingdings" w:hAnsi="Wingdings"/>
    </w:rPr>
  </w:style>
  <w:style w:type="character" w:customStyle="1" w:styleId="WW8Num17z3">
    <w:name w:val="WW8Num17z3"/>
    <w:rsid w:val="00F1121E"/>
    <w:rPr>
      <w:rFonts w:ascii="Symbol" w:hAnsi="Symbol"/>
    </w:rPr>
  </w:style>
  <w:style w:type="character" w:customStyle="1" w:styleId="WW8Num21z0">
    <w:name w:val="WW8Num21z0"/>
    <w:rsid w:val="00F1121E"/>
    <w:rPr>
      <w:rFonts w:ascii="Symbol" w:hAnsi="Symbol"/>
    </w:rPr>
  </w:style>
  <w:style w:type="character" w:customStyle="1" w:styleId="WW8Num22z0">
    <w:name w:val="WW8Num22z0"/>
    <w:rsid w:val="00F1121E"/>
    <w:rPr>
      <w:rFonts w:ascii="Symbol" w:hAnsi="Symbol"/>
    </w:rPr>
  </w:style>
  <w:style w:type="character" w:customStyle="1" w:styleId="WW8Num24z0">
    <w:name w:val="WW8Num24z0"/>
    <w:rsid w:val="00F1121E"/>
    <w:rPr>
      <w:rFonts w:ascii="Symbol" w:hAnsi="Symbol"/>
    </w:rPr>
  </w:style>
  <w:style w:type="character" w:customStyle="1" w:styleId="WW8Num26z1">
    <w:name w:val="WW8Num26z1"/>
    <w:rsid w:val="00F1121E"/>
    <w:rPr>
      <w:rFonts w:ascii="Courier New" w:hAnsi="Courier New"/>
    </w:rPr>
  </w:style>
  <w:style w:type="character" w:customStyle="1" w:styleId="WW8Num26z2">
    <w:name w:val="WW8Num26z2"/>
    <w:rsid w:val="00F1121E"/>
    <w:rPr>
      <w:rFonts w:ascii="Wingdings" w:hAnsi="Wingdings"/>
    </w:rPr>
  </w:style>
  <w:style w:type="character" w:customStyle="1" w:styleId="WW8Num26z3">
    <w:name w:val="WW8Num26z3"/>
    <w:rsid w:val="00F1121E"/>
    <w:rPr>
      <w:rFonts w:ascii="Symbol" w:hAnsi="Symbol"/>
    </w:rPr>
  </w:style>
  <w:style w:type="character" w:customStyle="1" w:styleId="DefaultParagraphFont1">
    <w:name w:val="Default Paragraph Font1"/>
    <w:rsid w:val="00F1121E"/>
  </w:style>
  <w:style w:type="character" w:styleId="Numrdepagin">
    <w:name w:val="page number"/>
    <w:rsid w:val="00F1121E"/>
    <w:rPr>
      <w:rFonts w:cs="Times New Roman"/>
    </w:rPr>
  </w:style>
  <w:style w:type="character" w:customStyle="1" w:styleId="FootnoteCharacters">
    <w:name w:val="Footnote Characters"/>
    <w:rsid w:val="00F1121E"/>
    <w:rPr>
      <w:vertAlign w:val="superscript"/>
    </w:rPr>
  </w:style>
  <w:style w:type="character" w:styleId="HyperlinkParcurs">
    <w:name w:val="FollowedHyperlink"/>
    <w:rsid w:val="00F1121E"/>
    <w:rPr>
      <w:color w:val="800080"/>
      <w:u w:val="single"/>
    </w:rPr>
  </w:style>
  <w:style w:type="character" w:customStyle="1" w:styleId="Heading3CharCharCharChar">
    <w:name w:val="Heading 3 Char Char Char Char"/>
    <w:rsid w:val="00F1121E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F1121E"/>
    <w:rPr>
      <w:rFonts w:cs="Times New Roman"/>
    </w:rPr>
  </w:style>
  <w:style w:type="character" w:customStyle="1" w:styleId="primfunc12">
    <w:name w:val="prim_func12"/>
    <w:rsid w:val="00F1121E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F1121E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F1121E"/>
    <w:rPr>
      <w:vertAlign w:val="superscript"/>
    </w:rPr>
  </w:style>
  <w:style w:type="character" w:customStyle="1" w:styleId="Foootnote">
    <w:name w:val="Foootnote"/>
    <w:rsid w:val="00F1121E"/>
    <w:rPr>
      <w:color w:val="000000"/>
      <w:vertAlign w:val="superscript"/>
    </w:rPr>
  </w:style>
  <w:style w:type="character" w:styleId="Robust">
    <w:name w:val="Strong"/>
    <w:uiPriority w:val="22"/>
    <w:qFormat/>
    <w:rsid w:val="00F1121E"/>
    <w:rPr>
      <w:b/>
    </w:rPr>
  </w:style>
  <w:style w:type="character" w:customStyle="1" w:styleId="NormalWebChar">
    <w:name w:val="Normal (Web) Char"/>
    <w:rsid w:val="00F1121E"/>
    <w:rPr>
      <w:sz w:val="24"/>
      <w:lang w:val="en-US" w:eastAsia="x-none"/>
    </w:rPr>
  </w:style>
  <w:style w:type="character" w:styleId="Accentuat">
    <w:name w:val="Emphasis"/>
    <w:qFormat/>
    <w:rsid w:val="00F1121E"/>
    <w:rPr>
      <w:i/>
    </w:rPr>
  </w:style>
  <w:style w:type="character" w:customStyle="1" w:styleId="BodyTextIndent3Char">
    <w:name w:val="Body Text Indent 3 Char"/>
    <w:rsid w:val="00F1121E"/>
    <w:rPr>
      <w:sz w:val="16"/>
      <w:lang w:val="en-AU" w:eastAsia="x-none"/>
    </w:rPr>
  </w:style>
  <w:style w:type="character" w:customStyle="1" w:styleId="BodyTextChar">
    <w:name w:val="Body Text Char"/>
    <w:rsid w:val="00F1121E"/>
    <w:rPr>
      <w:sz w:val="24"/>
      <w:lang w:val="en-US" w:eastAsia="x-none"/>
    </w:rPr>
  </w:style>
  <w:style w:type="character" w:styleId="Referinnotdefinal">
    <w:name w:val="endnote reference"/>
    <w:semiHidden/>
    <w:rsid w:val="00F1121E"/>
    <w:rPr>
      <w:vertAlign w:val="superscript"/>
    </w:rPr>
  </w:style>
  <w:style w:type="character" w:customStyle="1" w:styleId="EndnoteCharacters">
    <w:name w:val="Endnote Characters"/>
    <w:rsid w:val="00F1121E"/>
  </w:style>
  <w:style w:type="paragraph" w:customStyle="1" w:styleId="Heading">
    <w:name w:val="Heading"/>
    <w:basedOn w:val="Normal"/>
    <w:next w:val="Corptext"/>
    <w:rsid w:val="00F1121E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F1121E"/>
  </w:style>
  <w:style w:type="paragraph" w:customStyle="1" w:styleId="Index">
    <w:name w:val="Index"/>
    <w:basedOn w:val="Normal"/>
    <w:rsid w:val="00F1121E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F1121E"/>
    <w:rPr>
      <w:rFonts w:ascii="Tahoma" w:eastAsia="Times New Roman" w:hAnsi="Tahoma" w:cs="Times New Roman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F1121E"/>
    <w:pPr>
      <w:shd w:val="clear" w:color="auto" w:fill="000080"/>
      <w:suppressAutoHyphens/>
      <w:ind w:firstLine="0"/>
      <w:jc w:val="left"/>
    </w:pPr>
    <w:rPr>
      <w:rFonts w:ascii="Tahoma" w:hAnsi="Tahoma"/>
      <w:kern w:val="2"/>
      <w:sz w:val="24"/>
      <w:szCs w:val="24"/>
      <w:lang w:val="en-US" w:eastAsia="ar-SA"/>
      <w14:ligatures w14:val="standardContextual"/>
    </w:rPr>
  </w:style>
  <w:style w:type="character" w:customStyle="1" w:styleId="PlandocumentCaracter1">
    <w:name w:val="Plan document Caracter1"/>
    <w:basedOn w:val="Fontdeparagrafimplicit"/>
    <w:uiPriority w:val="99"/>
    <w:semiHidden/>
    <w:rsid w:val="00F1121E"/>
    <w:rPr>
      <w:rFonts w:ascii="Segoe UI" w:eastAsia="Times New Roman" w:hAnsi="Segoe UI" w:cs="Segoe UI"/>
      <w:kern w:val="0"/>
      <w:sz w:val="16"/>
      <w:szCs w:val="16"/>
      <w:lang w:val="ru-RU"/>
      <w14:ligatures w14:val="none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F1121E"/>
    <w:rPr>
      <w:rFonts w:ascii="Cambria Math" w:eastAsia="Times New Roman" w:hAnsi="Cambria Math" w:cs="Times New Roman"/>
      <w:lang w:eastAsia="ar-SA"/>
    </w:rPr>
  </w:style>
  <w:style w:type="paragraph" w:styleId="Textcomentariu">
    <w:name w:val="annotation text"/>
    <w:basedOn w:val="Normal"/>
    <w:link w:val="TextcomentariuCaracter"/>
    <w:uiPriority w:val="99"/>
    <w:semiHidden/>
    <w:rsid w:val="00F1121E"/>
    <w:pPr>
      <w:suppressAutoHyphens/>
      <w:ind w:firstLine="0"/>
      <w:jc w:val="left"/>
    </w:pPr>
    <w:rPr>
      <w:rFonts w:ascii="Cambria Math" w:hAnsi="Cambria Math"/>
      <w:kern w:val="2"/>
      <w:sz w:val="24"/>
      <w:szCs w:val="24"/>
      <w:lang w:val="en-US" w:eastAsia="ar-SA"/>
      <w14:ligatures w14:val="standardContextual"/>
    </w:rPr>
  </w:style>
  <w:style w:type="character" w:customStyle="1" w:styleId="TextcomentariuCaracter1">
    <w:name w:val="Text comentariu Caracter1"/>
    <w:basedOn w:val="Fontdeparagrafimplicit"/>
    <w:uiPriority w:val="99"/>
    <w:semiHidden/>
    <w:rsid w:val="00F1121E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F1121E"/>
    <w:rPr>
      <w:rFonts w:ascii="Cambria Math" w:eastAsia="Times New Roman" w:hAnsi="Cambria Math" w:cs="Times New Roman"/>
      <w:b/>
      <w:bCs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F1121E"/>
    <w:rPr>
      <w:b/>
      <w:bCs/>
    </w:rPr>
  </w:style>
  <w:style w:type="character" w:customStyle="1" w:styleId="SubiectComentariuCaracter1">
    <w:name w:val="Subiect Comentariu Caracter1"/>
    <w:basedOn w:val="TextcomentariuCaracter1"/>
    <w:uiPriority w:val="99"/>
    <w:semiHidden/>
    <w:rsid w:val="00F1121E"/>
    <w:rPr>
      <w:rFonts w:ascii="Times New Roman" w:eastAsia="Times New Roman" w:hAnsi="Times New Roman" w:cs="Times New Roman"/>
      <w:b/>
      <w:bCs/>
      <w:kern w:val="0"/>
      <w:sz w:val="20"/>
      <w:szCs w:val="20"/>
      <w:lang w:val="ru-RU"/>
      <w14:ligatures w14:val="none"/>
    </w:rPr>
  </w:style>
  <w:style w:type="paragraph" w:styleId="Indentcorptext2">
    <w:name w:val="Body Text Indent 2"/>
    <w:basedOn w:val="Normal"/>
    <w:link w:val="Indentcorptext2Caracter"/>
    <w:rsid w:val="00F1121E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F1121E"/>
    <w:rPr>
      <w:rFonts w:ascii="Cambria Math" w:eastAsia="Times New Roman" w:hAnsi="Cambria Math" w:cs="Times New Roman"/>
      <w:kern w:val="0"/>
      <w:lang w:val="ru-RU" w:eastAsia="ar-SA"/>
      <w14:ligatures w14:val="none"/>
    </w:rPr>
  </w:style>
  <w:style w:type="paragraph" w:customStyle="1" w:styleId="WW-Default">
    <w:name w:val="WW-Default"/>
    <w:rsid w:val="00F1121E"/>
    <w:pPr>
      <w:suppressAutoHyphens/>
      <w:autoSpaceDE w:val="0"/>
      <w:spacing w:after="0" w:line="240" w:lineRule="auto"/>
    </w:pPr>
    <w:rPr>
      <w:rFonts w:ascii="BKIKOO+TimesNewRoman" w:eastAsia="Times New Roman" w:hAnsi="BKIKOO+TimesNewRoman" w:cs="BKIKOO+TimesNewRoman"/>
      <w:color w:val="000000"/>
      <w:kern w:val="0"/>
      <w:lang w:val="ru-RU" w:eastAsia="ar-SA"/>
      <w14:ligatures w14:val="none"/>
    </w:rPr>
  </w:style>
  <w:style w:type="paragraph" w:styleId="Corptext2">
    <w:name w:val="Body Text 2"/>
    <w:basedOn w:val="Normal"/>
    <w:link w:val="Corptext2Caracter"/>
    <w:rsid w:val="00F1121E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F1121E"/>
    <w:rPr>
      <w:rFonts w:ascii="Cambria Math" w:eastAsia="Times New Roman" w:hAnsi="Cambria Math" w:cs="Times New Roman"/>
      <w:kern w:val="0"/>
      <w:lang w:val="ru-RU" w:eastAsia="ar-SA"/>
      <w14:ligatures w14:val="none"/>
    </w:rPr>
  </w:style>
  <w:style w:type="paragraph" w:styleId="Textnotdesubsol">
    <w:name w:val="footnote text"/>
    <w:basedOn w:val="Normal"/>
    <w:link w:val="TextnotdesubsolCaracter"/>
    <w:uiPriority w:val="99"/>
    <w:semiHidden/>
    <w:rsid w:val="00F1121E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F1121E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Indentcorptext">
    <w:name w:val="Body Text Indent"/>
    <w:basedOn w:val="Normal"/>
    <w:link w:val="IndentcorptextCaracter"/>
    <w:rsid w:val="00F1121E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F1121E"/>
    <w:rPr>
      <w:rFonts w:ascii="Cambria Math" w:eastAsia="Times New Roman" w:hAnsi="Cambria Math" w:cs="Times New Roman"/>
      <w:kern w:val="0"/>
      <w:lang w:val="ro-RO" w:eastAsia="ar-SA"/>
      <w14:ligatures w14:val="none"/>
    </w:rPr>
  </w:style>
  <w:style w:type="paragraph" w:customStyle="1" w:styleId="Normal2">
    <w:name w:val="Normal2"/>
    <w:rsid w:val="00F1121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0"/>
      <w:szCs w:val="20"/>
      <w:lang w:val="ru-RU" w:eastAsia="ar-SA"/>
      <w14:ligatures w14:val="none"/>
    </w:rPr>
  </w:style>
  <w:style w:type="paragraph" w:customStyle="1" w:styleId="51">
    <w:name w:val="Заголовок 51"/>
    <w:basedOn w:val="Normal2"/>
    <w:next w:val="Normal2"/>
    <w:rsid w:val="00F1121E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F1121E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F1121E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F1121E"/>
    <w:rPr>
      <w:rFonts w:ascii="Cambria Math" w:eastAsia="Times New Roman" w:hAnsi="Cambria Math" w:cs="Times New Roman"/>
      <w:kern w:val="0"/>
      <w:sz w:val="16"/>
      <w:szCs w:val="16"/>
      <w:lang w:val="ro-RO" w:eastAsia="ar-SA"/>
      <w14:ligatures w14:val="none"/>
    </w:rPr>
  </w:style>
  <w:style w:type="paragraph" w:customStyle="1" w:styleId="CharCharCharCharCharCharCharCharCharChar">
    <w:name w:val="Char Char Char Char Char Char Char Char Char Char"/>
    <w:basedOn w:val="Normal"/>
    <w:rsid w:val="00F1121E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F1121E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F1121E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F1121E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F1121E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F1121E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F1121E"/>
    <w:pPr>
      <w:suppressAutoHyphens/>
      <w:spacing w:before="120" w:after="120" w:line="240" w:lineRule="auto"/>
      <w:jc w:val="both"/>
    </w:pPr>
    <w:rPr>
      <w:rFonts w:ascii="Calibri" w:eastAsia="Times New Roman" w:hAnsi="Calibri" w:cs="Times New Roman"/>
      <w:kern w:val="0"/>
      <w:sz w:val="22"/>
      <w:szCs w:val="22"/>
      <w:lang w:val="ro-RO" w:eastAsia="ar-SA"/>
      <w14:ligatures w14:val="none"/>
    </w:rPr>
  </w:style>
  <w:style w:type="paragraph" w:customStyle="1" w:styleId="ListParagraph1">
    <w:name w:val="List Paragraph1"/>
    <w:basedOn w:val="Normal"/>
    <w:rsid w:val="00F1121E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F1121E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F1121E"/>
  </w:style>
  <w:style w:type="paragraph" w:customStyle="1" w:styleId="TableHeading">
    <w:name w:val="Table Heading"/>
    <w:basedOn w:val="TableContents"/>
    <w:rsid w:val="00F1121E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F1121E"/>
    <w:pPr>
      <w:spacing w:before="480" w:after="24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harChar3CharChar">
    <w:name w:val="Char Char3 Знак Знак Char Char"/>
    <w:basedOn w:val="Normal"/>
    <w:next w:val="Normal"/>
    <w:rsid w:val="00F1121E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F1121E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F1121E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F11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F1121E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F1121E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F1121E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customStyle="1" w:styleId="CharChar1">
    <w:name w:val="Char Char1 Знак Знак"/>
    <w:basedOn w:val="Normal"/>
    <w:next w:val="Normal"/>
    <w:rsid w:val="00F1121E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F1121E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F1121E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F1121E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F1121E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F1121E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F1121E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F1121E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F1121E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F1121E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F1121E"/>
    <w:rPr>
      <w:rFonts w:cs="Times New Roman"/>
    </w:rPr>
  </w:style>
  <w:style w:type="paragraph" w:customStyle="1" w:styleId="Listparagraf1">
    <w:name w:val="Listă paragraf1"/>
    <w:basedOn w:val="Normal"/>
    <w:rsid w:val="00F1121E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F1121E"/>
    <w:pPr>
      <w:spacing w:before="480" w:after="24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xtnotdefinal">
    <w:name w:val="endnote text"/>
    <w:basedOn w:val="Normal"/>
    <w:link w:val="TextnotdefinalCaracter"/>
    <w:semiHidden/>
    <w:rsid w:val="00F1121E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F1121E"/>
    <w:rPr>
      <w:rFonts w:ascii="Cambria Math" w:eastAsia="Times New Roman" w:hAnsi="Cambria Math" w:cs="Times New Roman"/>
      <w:kern w:val="0"/>
      <w:lang w:val="ro-RO" w:eastAsia="ar-SA"/>
      <w14:ligatures w14:val="none"/>
    </w:rPr>
  </w:style>
  <w:style w:type="paragraph" w:customStyle="1" w:styleId="Frspaiere1">
    <w:name w:val="Fără spațiere1"/>
    <w:link w:val="NoSpacingChar"/>
    <w:rsid w:val="00F1121E"/>
    <w:pPr>
      <w:spacing w:after="0" w:line="240" w:lineRule="auto"/>
    </w:pPr>
    <w:rPr>
      <w:rFonts w:ascii="Calibri" w:eastAsia="PMingLiU" w:hAnsi="Calibri" w:cs="Times New Roman"/>
      <w:kern w:val="0"/>
      <w:sz w:val="22"/>
      <w:szCs w:val="22"/>
      <w14:ligatures w14:val="none"/>
    </w:rPr>
  </w:style>
  <w:style w:type="character" w:customStyle="1" w:styleId="NoSpacingChar">
    <w:name w:val="No Spacing Char"/>
    <w:link w:val="Frspaiere1"/>
    <w:locked/>
    <w:rsid w:val="00F1121E"/>
    <w:rPr>
      <w:rFonts w:ascii="Calibri" w:eastAsia="PMingLiU" w:hAnsi="Calibri" w:cs="Times New Roman"/>
      <w:kern w:val="0"/>
      <w:sz w:val="22"/>
      <w:szCs w:val="22"/>
      <w14:ligatures w14:val="none"/>
    </w:rPr>
  </w:style>
  <w:style w:type="paragraph" w:customStyle="1" w:styleId="FootNote">
    <w:name w:val="FootNote"/>
    <w:basedOn w:val="Textnotdesubsol"/>
    <w:link w:val="FootNoteChar"/>
    <w:rsid w:val="00F1121E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F1121E"/>
    <w:rPr>
      <w:rFonts w:ascii="Calibri" w:eastAsia="Times New Roman" w:hAnsi="Calibri" w:cs="Times New Roman"/>
      <w:kern w:val="0"/>
      <w:sz w:val="18"/>
      <w:szCs w:val="20"/>
      <w:lang w:val="en-AU" w:eastAsia="ar-SA"/>
      <w14:ligatures w14:val="none"/>
    </w:rPr>
  </w:style>
  <w:style w:type="paragraph" w:customStyle="1" w:styleId="Default">
    <w:name w:val="Default"/>
    <w:rsid w:val="00F112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ru-RU"/>
      <w14:ligatures w14:val="none"/>
    </w:rPr>
  </w:style>
  <w:style w:type="paragraph" w:customStyle="1" w:styleId="Citat1">
    <w:name w:val="Citat1"/>
    <w:basedOn w:val="Normal"/>
    <w:next w:val="Normal"/>
    <w:link w:val="QuoteChar"/>
    <w:rsid w:val="00F1121E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F1121E"/>
    <w:rPr>
      <w:rFonts w:ascii="Cambria Math" w:eastAsia="Times New Roman" w:hAnsi="Cambria Math" w:cs="Times New Roman"/>
      <w:i/>
      <w:iCs/>
      <w:color w:val="000000"/>
      <w:kern w:val="0"/>
      <w:lang w:val="ro-RO" w:eastAsia="ar-SA"/>
      <w14:ligatures w14:val="none"/>
    </w:rPr>
  </w:style>
  <w:style w:type="paragraph" w:customStyle="1" w:styleId="CharCharCharChar1">
    <w:name w:val="Char Char Знак Знак Char Char1"/>
    <w:basedOn w:val="Normal"/>
    <w:rsid w:val="00F1121E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F1121E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F1121E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F1121E"/>
  </w:style>
  <w:style w:type="character" w:customStyle="1" w:styleId="apple-converted-space">
    <w:name w:val="apple-converted-space"/>
    <w:basedOn w:val="Fontdeparagrafimplicit"/>
    <w:rsid w:val="00F1121E"/>
  </w:style>
  <w:style w:type="character" w:customStyle="1" w:styleId="docheader1">
    <w:name w:val="doc_header1"/>
    <w:basedOn w:val="Fontdeparagrafimplicit"/>
    <w:rsid w:val="00F1121E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F1121E"/>
  </w:style>
  <w:style w:type="character" w:styleId="Referincomentariu">
    <w:name w:val="annotation reference"/>
    <w:basedOn w:val="Fontdeparagrafimplicit"/>
    <w:uiPriority w:val="99"/>
    <w:semiHidden/>
    <w:unhideWhenUsed/>
    <w:rsid w:val="00F1121E"/>
    <w:rPr>
      <w:sz w:val="16"/>
      <w:szCs w:val="16"/>
    </w:rPr>
  </w:style>
  <w:style w:type="character" w:customStyle="1" w:styleId="docbody">
    <w:name w:val="doc_body"/>
    <w:basedOn w:val="Fontdeparagrafimplicit"/>
    <w:rsid w:val="00F1121E"/>
  </w:style>
  <w:style w:type="table" w:styleId="Tabelgril">
    <w:name w:val="Table Grid"/>
    <w:basedOn w:val="TabelNormal"/>
    <w:uiPriority w:val="39"/>
    <w:rsid w:val="00F1121E"/>
    <w:pPr>
      <w:spacing w:after="0" w:line="240" w:lineRule="auto"/>
      <w:ind w:firstLine="709"/>
      <w:jc w:val="both"/>
    </w:pPr>
    <w:rPr>
      <w:rFonts w:eastAsiaTheme="minorEastAsia"/>
      <w:kern w:val="0"/>
      <w:sz w:val="22"/>
      <w:szCs w:val="22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F1121E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F11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F1121E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shorttext">
    <w:name w:val="short_text"/>
    <w:basedOn w:val="Fontdeparagrafimplicit"/>
    <w:rsid w:val="00F1121E"/>
  </w:style>
  <w:style w:type="paragraph" w:styleId="Frspaiere">
    <w:name w:val="No Spacing"/>
    <w:uiPriority w:val="1"/>
    <w:qFormat/>
    <w:rsid w:val="00F1121E"/>
    <w:pPr>
      <w:spacing w:after="0" w:line="240" w:lineRule="auto"/>
      <w:ind w:firstLine="709"/>
      <w:jc w:val="both"/>
    </w:pPr>
    <w:rPr>
      <w:rFonts w:ascii="Times New Roman" w:hAnsi="Times New Roman"/>
      <w:b/>
      <w:kern w:val="0"/>
      <w:szCs w:val="22"/>
      <w14:ligatures w14:val="none"/>
    </w:rPr>
  </w:style>
  <w:style w:type="character" w:styleId="Titlulcrii">
    <w:name w:val="Book Title"/>
    <w:basedOn w:val="Fontdeparagrafimplicit"/>
    <w:uiPriority w:val="33"/>
    <w:qFormat/>
    <w:rsid w:val="00F1121E"/>
    <w:rPr>
      <w:b/>
      <w:bCs/>
      <w:smallCaps/>
      <w:spacing w:val="5"/>
    </w:rPr>
  </w:style>
  <w:style w:type="paragraph" w:styleId="Textbloc">
    <w:name w:val="Block Text"/>
    <w:basedOn w:val="Normal"/>
    <w:rsid w:val="00F1121E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FrListare"/>
    <w:uiPriority w:val="99"/>
    <w:semiHidden/>
    <w:unhideWhenUsed/>
    <w:rsid w:val="00F1121E"/>
  </w:style>
  <w:style w:type="character" w:customStyle="1" w:styleId="a0">
    <w:name w:val="Сноска_"/>
    <w:link w:val="a1"/>
    <w:rsid w:val="00F1121E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F1121E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F1121E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F1121E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F112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F11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F11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F11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F11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F1121E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F1121E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F112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F1121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F1121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F11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F1121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F1121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F1121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F1121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F1121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F1121E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F1121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F11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F112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F1121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F112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F1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F11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F11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F1121E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F112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F1121E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F1121E"/>
    <w:pPr>
      <w:widowControl w:val="0"/>
      <w:shd w:val="clear" w:color="auto" w:fill="FFFFFF"/>
      <w:spacing w:line="274" w:lineRule="exact"/>
      <w:ind w:firstLine="0"/>
      <w:jc w:val="left"/>
    </w:pPr>
    <w:rPr>
      <w:rFonts w:asciiTheme="minorHAnsi" w:hAnsiTheme="minorHAnsi" w:cstheme="minorBidi"/>
      <w:kern w:val="2"/>
      <w:sz w:val="23"/>
      <w:szCs w:val="23"/>
      <w:lang w:val="en-US"/>
      <w14:ligatures w14:val="standardContextual"/>
    </w:rPr>
  </w:style>
  <w:style w:type="paragraph" w:customStyle="1" w:styleId="4">
    <w:name w:val="Основной текст4"/>
    <w:basedOn w:val="Normal"/>
    <w:link w:val="a2"/>
    <w:rsid w:val="00F1121E"/>
    <w:pPr>
      <w:widowControl w:val="0"/>
      <w:shd w:val="clear" w:color="auto" w:fill="FFFFFF"/>
      <w:spacing w:before="540" w:line="259" w:lineRule="exact"/>
      <w:ind w:hanging="380"/>
      <w:jc w:val="left"/>
    </w:pPr>
    <w:rPr>
      <w:rFonts w:asciiTheme="minorHAnsi" w:hAnsiTheme="minorHAnsi" w:cstheme="minorBidi"/>
      <w:kern w:val="2"/>
      <w:sz w:val="23"/>
      <w:szCs w:val="23"/>
      <w:lang w:val="en-US"/>
      <w14:ligatures w14:val="standardContextual"/>
    </w:rPr>
  </w:style>
  <w:style w:type="paragraph" w:customStyle="1" w:styleId="a4">
    <w:name w:val="Колонтитул"/>
    <w:basedOn w:val="Normal"/>
    <w:link w:val="a3"/>
    <w:rsid w:val="00F1121E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kern w:val="2"/>
      <w:sz w:val="15"/>
      <w:szCs w:val="15"/>
      <w:lang w:val="en-US"/>
      <w14:ligatures w14:val="standardContextual"/>
    </w:rPr>
  </w:style>
  <w:style w:type="paragraph" w:customStyle="1" w:styleId="30">
    <w:name w:val="Основной текст (3)"/>
    <w:basedOn w:val="Normal"/>
    <w:link w:val="3"/>
    <w:rsid w:val="00F1121E"/>
    <w:pPr>
      <w:widowControl w:val="0"/>
      <w:shd w:val="clear" w:color="auto" w:fill="FFFFFF"/>
      <w:spacing w:after="60" w:line="0" w:lineRule="atLeast"/>
      <w:ind w:firstLine="0"/>
      <w:jc w:val="left"/>
    </w:pPr>
    <w:rPr>
      <w:rFonts w:asciiTheme="minorHAnsi" w:hAnsiTheme="minorHAnsi" w:cstheme="minorBidi"/>
      <w:i/>
      <w:iCs/>
      <w:kern w:val="2"/>
      <w:sz w:val="8"/>
      <w:szCs w:val="8"/>
      <w:lang w:val="en-US"/>
      <w14:ligatures w14:val="standardContextual"/>
    </w:rPr>
  </w:style>
  <w:style w:type="paragraph" w:customStyle="1" w:styleId="50">
    <w:name w:val="Основной текст (5)"/>
    <w:basedOn w:val="Normal"/>
    <w:link w:val="5"/>
    <w:rsid w:val="00F1121E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kern w:val="2"/>
      <w:sz w:val="8"/>
      <w:szCs w:val="8"/>
      <w:lang w:val="en-US"/>
      <w14:ligatures w14:val="standardContextual"/>
    </w:rPr>
  </w:style>
  <w:style w:type="paragraph" w:customStyle="1" w:styleId="60">
    <w:name w:val="Основной текст (6)"/>
    <w:basedOn w:val="Normal"/>
    <w:link w:val="6"/>
    <w:rsid w:val="00F1121E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kern w:val="2"/>
      <w:sz w:val="8"/>
      <w:szCs w:val="8"/>
      <w:lang w:val="en-US"/>
      <w14:ligatures w14:val="standardContextual"/>
    </w:rPr>
  </w:style>
  <w:style w:type="paragraph" w:customStyle="1" w:styleId="70">
    <w:name w:val="Основной текст (7)"/>
    <w:basedOn w:val="Normal"/>
    <w:link w:val="7"/>
    <w:rsid w:val="00F1121E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kern w:val="2"/>
      <w:sz w:val="8"/>
      <w:szCs w:val="8"/>
      <w:lang w:val="en-US"/>
      <w14:ligatures w14:val="standardContextual"/>
    </w:rPr>
  </w:style>
  <w:style w:type="paragraph" w:customStyle="1" w:styleId="80">
    <w:name w:val="Основной текст (8)"/>
    <w:basedOn w:val="Normal"/>
    <w:link w:val="8"/>
    <w:rsid w:val="00F1121E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kern w:val="2"/>
      <w:sz w:val="8"/>
      <w:szCs w:val="8"/>
      <w:lang w:val="en-US"/>
      <w14:ligatures w14:val="standardContextual"/>
    </w:rPr>
  </w:style>
  <w:style w:type="paragraph" w:customStyle="1" w:styleId="90">
    <w:name w:val="Основной текст (9)"/>
    <w:basedOn w:val="Normal"/>
    <w:link w:val="9"/>
    <w:rsid w:val="00F1121E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kern w:val="2"/>
      <w:sz w:val="8"/>
      <w:szCs w:val="8"/>
      <w:lang w:val="en-US"/>
      <w14:ligatures w14:val="standardContextual"/>
    </w:rPr>
  </w:style>
  <w:style w:type="paragraph" w:customStyle="1" w:styleId="101">
    <w:name w:val="Основной текст (10)"/>
    <w:basedOn w:val="Normal"/>
    <w:link w:val="100"/>
    <w:rsid w:val="00F1121E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kern w:val="2"/>
      <w:sz w:val="8"/>
      <w:szCs w:val="8"/>
      <w:lang w:val="en-US"/>
      <w14:ligatures w14:val="standardContextual"/>
    </w:rPr>
  </w:style>
  <w:style w:type="paragraph" w:customStyle="1" w:styleId="111">
    <w:name w:val="Основной текст (11)"/>
    <w:basedOn w:val="Normal"/>
    <w:link w:val="110"/>
    <w:rsid w:val="00F1121E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kern w:val="2"/>
      <w:sz w:val="8"/>
      <w:szCs w:val="8"/>
      <w:lang w:val="en-US"/>
      <w14:ligatures w14:val="standardContextual"/>
    </w:rPr>
  </w:style>
  <w:style w:type="paragraph" w:customStyle="1" w:styleId="121">
    <w:name w:val="Основной текст (12)"/>
    <w:basedOn w:val="Normal"/>
    <w:link w:val="120"/>
    <w:rsid w:val="00F1121E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kern w:val="2"/>
      <w:sz w:val="8"/>
      <w:szCs w:val="8"/>
      <w:lang w:val="en-US"/>
      <w14:ligatures w14:val="standardContextual"/>
    </w:rPr>
  </w:style>
  <w:style w:type="paragraph" w:customStyle="1" w:styleId="130">
    <w:name w:val="Основной текст (13)"/>
    <w:basedOn w:val="Normal"/>
    <w:link w:val="13"/>
    <w:rsid w:val="00F1121E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kern w:val="2"/>
      <w:sz w:val="8"/>
      <w:szCs w:val="8"/>
      <w:lang w:val="en-US"/>
      <w14:ligatures w14:val="standardContextual"/>
    </w:rPr>
  </w:style>
  <w:style w:type="paragraph" w:customStyle="1" w:styleId="140">
    <w:name w:val="Основной текст (14)"/>
    <w:basedOn w:val="Normal"/>
    <w:link w:val="14"/>
    <w:rsid w:val="00F1121E"/>
    <w:pPr>
      <w:widowControl w:val="0"/>
      <w:shd w:val="clear" w:color="auto" w:fill="FFFFFF"/>
      <w:spacing w:before="4980" w:after="180" w:line="254" w:lineRule="exact"/>
      <w:ind w:firstLine="0"/>
    </w:pPr>
    <w:rPr>
      <w:rFonts w:asciiTheme="minorHAnsi" w:hAnsiTheme="minorHAnsi" w:cstheme="minorBidi"/>
      <w:i/>
      <w:iCs/>
      <w:kern w:val="2"/>
      <w:sz w:val="21"/>
      <w:szCs w:val="21"/>
      <w:lang w:val="en-US"/>
      <w14:ligatures w14:val="standardContextual"/>
    </w:rPr>
  </w:style>
  <w:style w:type="paragraph" w:customStyle="1" w:styleId="150">
    <w:name w:val="Основной текст (15)"/>
    <w:basedOn w:val="Normal"/>
    <w:link w:val="15"/>
    <w:rsid w:val="00F1121E"/>
    <w:pPr>
      <w:widowControl w:val="0"/>
      <w:shd w:val="clear" w:color="auto" w:fill="FFFFFF"/>
      <w:spacing w:line="0" w:lineRule="atLeast"/>
      <w:ind w:firstLine="0"/>
      <w:jc w:val="left"/>
    </w:pPr>
    <w:rPr>
      <w:rFonts w:asciiTheme="minorHAnsi" w:hAnsiTheme="minorHAnsi" w:cstheme="minorBidi"/>
      <w:b/>
      <w:bCs/>
      <w:kern w:val="2"/>
      <w:sz w:val="18"/>
      <w:szCs w:val="18"/>
      <w:lang w:val="en-US"/>
      <w14:ligatures w14:val="standardContextual"/>
    </w:rPr>
  </w:style>
  <w:style w:type="paragraph" w:styleId="Titlucuprins">
    <w:name w:val="TOC Heading"/>
    <w:basedOn w:val="Titlu1"/>
    <w:next w:val="Normal"/>
    <w:uiPriority w:val="39"/>
    <w:unhideWhenUsed/>
    <w:qFormat/>
    <w:rsid w:val="00F1121E"/>
    <w:pPr>
      <w:spacing w:before="240" w:after="0" w:line="259" w:lineRule="auto"/>
      <w:outlineLvl w:val="9"/>
    </w:pPr>
    <w:rPr>
      <w:rFonts w:ascii="Calibri Light" w:eastAsia="Times New Roman" w:hAnsi="Calibri Light" w:cs="Arial Unicode MS"/>
      <w:color w:val="2E74B5"/>
      <w:sz w:val="32"/>
      <w:szCs w:val="32"/>
      <w:lang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F1121E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F1121E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F1121E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F1121E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F1121E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F1121E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F1121E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F1121E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F1121E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F1121E"/>
    <w:rPr>
      <w:vertAlign w:val="superscript"/>
    </w:rPr>
  </w:style>
  <w:style w:type="character" w:customStyle="1" w:styleId="FontStyle30">
    <w:name w:val="Font Style30"/>
    <w:uiPriority w:val="99"/>
    <w:rsid w:val="00F1121E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F1121E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4734</Words>
  <Characters>26988</Characters>
  <Application>Microsoft Office Word</Application>
  <DocSecurity>0</DocSecurity>
  <Lines>224</Lines>
  <Paragraphs>63</Paragraphs>
  <ScaleCrop>false</ScaleCrop>
  <Company/>
  <LinksUpToDate>false</LinksUpToDate>
  <CharactersWithSpaces>31659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2025-09-12T04:55:00Z</dcterms:created>
  <dcterms:modified xsi:type="dcterms:W3CDTF">2025-09-12T04:59:00Z</dcterms:modified>
</cp:coreProperties>
</file>