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674D6" w14:textId="77777777" w:rsidR="001745B9" w:rsidRPr="001745B9" w:rsidRDefault="001745B9" w:rsidP="001745B9">
      <w:pPr>
        <w:shd w:val="clear" w:color="auto" w:fill="FFFFFF"/>
        <w:spacing w:before="165" w:after="165" w:line="240" w:lineRule="auto"/>
        <w:jc w:val="center"/>
        <w:outlineLvl w:val="3"/>
        <w:rPr>
          <w:rFonts w:ascii="PT Serif" w:hAnsi="PT Serif"/>
          <w:color w:val="000000"/>
          <w:shd w:val="clear" w:color="auto" w:fill="FFFFFF"/>
          <w:lang w:val="ru-RU"/>
        </w:rPr>
      </w:pPr>
      <w:r w:rsidRPr="001745B9">
        <w:rPr>
          <w:rStyle w:val="Strong"/>
          <w:rFonts w:ascii="PT Serif" w:hAnsi="PT Serif"/>
          <w:color w:val="000000"/>
          <w:shd w:val="clear" w:color="auto" w:fill="FFFFFF"/>
          <w:lang w:val="ru-RU"/>
        </w:rPr>
        <w:t>Статья 226</w:t>
      </w:r>
      <w:r w:rsidRPr="001745B9">
        <w:rPr>
          <w:rStyle w:val="Strong"/>
          <w:rFonts w:ascii="PT Serif" w:hAnsi="PT Serif"/>
          <w:color w:val="000000"/>
          <w:sz w:val="18"/>
          <w:szCs w:val="18"/>
          <w:shd w:val="clear" w:color="auto" w:fill="FFFFFF"/>
          <w:vertAlign w:val="superscript"/>
          <w:lang w:val="ru-RU"/>
        </w:rPr>
        <w:t>11</w:t>
      </w:r>
      <w:r w:rsidRPr="001745B9">
        <w:rPr>
          <w:rStyle w:val="Strong"/>
          <w:rFonts w:ascii="PT Serif" w:hAnsi="PT Serif"/>
          <w:color w:val="000000"/>
          <w:shd w:val="clear" w:color="auto" w:fill="FFFFFF"/>
          <w:lang w:val="ru-RU"/>
        </w:rPr>
        <w:t>.</w:t>
      </w:r>
      <w:r>
        <w:rPr>
          <w:rFonts w:ascii="PT Serif" w:hAnsi="PT Serif"/>
          <w:color w:val="000000"/>
          <w:shd w:val="clear" w:color="auto" w:fill="FFFFFF"/>
        </w:rPr>
        <w:t> </w:t>
      </w:r>
      <w:r w:rsidRPr="001745B9">
        <w:rPr>
          <w:rFonts w:ascii="PT Serif" w:hAnsi="PT Serif"/>
          <w:color w:val="000000"/>
          <w:shd w:val="clear" w:color="auto" w:fill="FFFFFF"/>
          <w:lang w:val="ru-RU"/>
        </w:rPr>
        <w:t>Косвенные источники информации</w:t>
      </w:r>
    </w:p>
    <w:p w14:paraId="6757A1D1" w14:textId="77777777" w:rsidR="001745B9" w:rsidRDefault="001745B9" w:rsidP="001745B9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PT Serif" w:hAnsi="PT Serif"/>
          <w:color w:val="333333"/>
        </w:rPr>
      </w:pPr>
      <w:r>
        <w:rPr>
          <w:rFonts w:ascii="PT Serif" w:hAnsi="PT Serif"/>
          <w:color w:val="000000"/>
        </w:rPr>
        <w:t>i) об оформлении/возврате займов в течение налогового года, отраженных в бухгалтерском учете предприятия, в совокупности в течение налогового года превышающих сумму в 200 тысяч леев;</w:t>
      </w:r>
    </w:p>
    <w:p w14:paraId="27E7B4FB" w14:textId="0CC989D4" w:rsidR="001745B9" w:rsidRPr="00BD3C72" w:rsidRDefault="001745B9" w:rsidP="001745B9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PT Serif" w:hAnsi="PT Serif"/>
          <w:color w:val="FF0000"/>
        </w:rPr>
      </w:pPr>
      <w:r w:rsidRPr="00BD3C72">
        <w:rPr>
          <w:rFonts w:ascii="PT Serif" w:hAnsi="PT Serif"/>
          <w:color w:val="FF0000"/>
        </w:rPr>
        <w:t>i</w:t>
      </w:r>
      <w:r w:rsidRPr="00BD3C72">
        <w:rPr>
          <w:rFonts w:ascii="PT Serif" w:hAnsi="PT Serif"/>
          <w:color w:val="FF0000"/>
          <w:sz w:val="18"/>
          <w:szCs w:val="18"/>
          <w:vertAlign w:val="superscript"/>
        </w:rPr>
        <w:t>1</w:t>
      </w:r>
      <w:r w:rsidRPr="00BD3C72">
        <w:rPr>
          <w:rFonts w:ascii="PT Serif" w:hAnsi="PT Serif"/>
          <w:color w:val="FF0000"/>
        </w:rPr>
        <w:t>) о регистрации/погашении в течение налогового года задолженности перед персоналом, за исключением задолженности по оплате труда, остаток которой на конец года превышает сумму в 200 тысяч леев</w:t>
      </w:r>
      <w:r w:rsidR="00BD3C72">
        <w:rPr>
          <w:rFonts w:ascii="PT Serif" w:hAnsi="PT Serif"/>
          <w:color w:val="FF0000"/>
          <w:lang w:val="ro-MD"/>
        </w:rPr>
        <w:t xml:space="preserve"> – c 2025 </w:t>
      </w:r>
      <w:r w:rsidR="00BD3C72">
        <w:rPr>
          <w:rFonts w:ascii="PT Serif" w:hAnsi="PT Serif"/>
          <w:color w:val="FF0000"/>
        </w:rPr>
        <w:t xml:space="preserve">года, </w:t>
      </w:r>
      <w:proofErr w:type="spellStart"/>
      <w:r w:rsidR="00BD3C72">
        <w:rPr>
          <w:rFonts w:ascii="PT Serif" w:hAnsi="PT Serif"/>
          <w:color w:val="FF0000"/>
        </w:rPr>
        <w:t>т.е</w:t>
      </w:r>
      <w:proofErr w:type="spellEnd"/>
      <w:r w:rsidR="00BD3C72">
        <w:rPr>
          <w:rFonts w:ascii="PT Serif" w:hAnsi="PT Serif"/>
          <w:color w:val="FF0000"/>
        </w:rPr>
        <w:t xml:space="preserve"> декларируется начиная с 2026 года за 2025 год</w:t>
      </w:r>
      <w:r w:rsidRPr="00BD3C72">
        <w:rPr>
          <w:rFonts w:ascii="PT Serif" w:hAnsi="PT Serif"/>
          <w:color w:val="FF0000"/>
        </w:rPr>
        <w:t>;</w:t>
      </w:r>
    </w:p>
    <w:p w14:paraId="511D6C73" w14:textId="7C5D0E27" w:rsidR="001745B9" w:rsidRPr="001745B9" w:rsidRDefault="001745B9" w:rsidP="001745B9">
      <w:pPr>
        <w:shd w:val="clear" w:color="auto" w:fill="FFFFFF"/>
        <w:spacing w:before="165" w:after="165" w:line="240" w:lineRule="auto"/>
        <w:jc w:val="center"/>
        <w:outlineLvl w:val="3"/>
        <w:rPr>
          <w:rFonts w:ascii="PT Serif" w:eastAsia="Times New Roman" w:hAnsi="PT Serif" w:cs="Times New Roman"/>
          <w:color w:val="333333"/>
          <w:sz w:val="24"/>
          <w:szCs w:val="24"/>
          <w:lang w:val="ru-RU" w:eastAsia="ru-RU"/>
        </w:rPr>
      </w:pPr>
      <w:r w:rsidRPr="00BD3C72">
        <w:rPr>
          <w:rFonts w:ascii="PT Serif" w:eastAsia="Times New Roman" w:hAnsi="PT Serif" w:cs="Times New Roman"/>
          <w:sz w:val="24"/>
          <w:szCs w:val="24"/>
          <w:lang w:val="ru-RU" w:eastAsia="ru-RU"/>
        </w:rPr>
        <w:t xml:space="preserve">Республика </w:t>
      </w:r>
      <w:r w:rsidRPr="001745B9">
        <w:rPr>
          <w:rFonts w:ascii="PT Serif" w:eastAsia="Times New Roman" w:hAnsi="PT Serif" w:cs="Times New Roman"/>
          <w:color w:val="333333"/>
          <w:sz w:val="24"/>
          <w:szCs w:val="24"/>
          <w:lang w:val="ru-RU" w:eastAsia="ru-RU"/>
        </w:rPr>
        <w:t>Молдова</w:t>
      </w:r>
    </w:p>
    <w:p w14:paraId="70D646AD" w14:textId="77777777" w:rsidR="001745B9" w:rsidRPr="001745B9" w:rsidRDefault="001745B9" w:rsidP="001745B9">
      <w:pPr>
        <w:shd w:val="clear" w:color="auto" w:fill="FFFFFF"/>
        <w:spacing w:before="165" w:after="165" w:line="240" w:lineRule="auto"/>
        <w:jc w:val="center"/>
        <w:outlineLvl w:val="3"/>
        <w:rPr>
          <w:rFonts w:ascii="PT Serif" w:eastAsia="Times New Roman" w:hAnsi="PT Serif" w:cs="Times New Roman"/>
          <w:color w:val="333333"/>
          <w:sz w:val="24"/>
          <w:szCs w:val="24"/>
          <w:lang w:val="ru-RU" w:eastAsia="ru-RU"/>
        </w:rPr>
      </w:pP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lang w:val="ru-RU" w:eastAsia="ru-RU"/>
        </w:rPr>
        <w:t>ГОСУДАРСТВЕННАЯ НАЛОГОВАЯ СЛУЖБА</w:t>
      </w:r>
    </w:p>
    <w:p w14:paraId="67623EF3" w14:textId="77777777" w:rsidR="001745B9" w:rsidRPr="001745B9" w:rsidRDefault="001745B9" w:rsidP="001745B9">
      <w:pPr>
        <w:shd w:val="clear" w:color="auto" w:fill="FFFFFF"/>
        <w:spacing w:before="165" w:after="165" w:line="240" w:lineRule="auto"/>
        <w:jc w:val="center"/>
        <w:outlineLvl w:val="3"/>
        <w:rPr>
          <w:rFonts w:ascii="PT Serif" w:eastAsia="Times New Roman" w:hAnsi="PT Serif" w:cs="Times New Roman"/>
          <w:color w:val="333333"/>
          <w:sz w:val="24"/>
          <w:szCs w:val="24"/>
          <w:lang w:val="ru-RU" w:eastAsia="ru-RU"/>
        </w:rPr>
      </w:pP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lang w:val="ru-RU" w:eastAsia="ru-RU"/>
        </w:rPr>
        <w:t>ПРИКАЗ</w:t>
      </w:r>
      <w:r w:rsidRPr="001745B9">
        <w:rPr>
          <w:rFonts w:ascii="PT Serif" w:eastAsia="Times New Roman" w:hAnsi="PT Serif" w:cs="Times New Roman"/>
          <w:color w:val="333333"/>
          <w:sz w:val="24"/>
          <w:szCs w:val="24"/>
          <w:lang w:val="ru-RU" w:eastAsia="ru-RU"/>
        </w:rPr>
        <w:t> № 427</w:t>
      </w:r>
      <w:r w:rsidRPr="001745B9">
        <w:rPr>
          <w:rFonts w:ascii="PT Serif" w:eastAsia="Times New Roman" w:hAnsi="PT Serif" w:cs="Times New Roman"/>
          <w:color w:val="333333"/>
          <w:sz w:val="24"/>
          <w:szCs w:val="24"/>
          <w:lang w:val="ru-RU" w:eastAsia="ru-RU"/>
        </w:rPr>
        <w:br/>
        <w:t>от 21-08-2018</w:t>
      </w:r>
    </w:p>
    <w:p w14:paraId="3F15E3E4" w14:textId="77777777" w:rsidR="001745B9" w:rsidRPr="001745B9" w:rsidRDefault="001745B9" w:rsidP="001745B9">
      <w:pPr>
        <w:shd w:val="clear" w:color="auto" w:fill="FFFFFF"/>
        <w:spacing w:before="165" w:after="165" w:line="240" w:lineRule="auto"/>
        <w:jc w:val="center"/>
        <w:outlineLvl w:val="3"/>
        <w:rPr>
          <w:rFonts w:ascii="PT Serif" w:eastAsia="Times New Roman" w:hAnsi="PT Serif" w:cs="Times New Roman"/>
          <w:color w:val="333333"/>
          <w:sz w:val="24"/>
          <w:szCs w:val="24"/>
          <w:lang w:val="ru-RU" w:eastAsia="ru-RU"/>
        </w:rPr>
      </w:pPr>
      <w:proofErr w:type="spellStart"/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lang w:val="ru-RU" w:eastAsia="ru-RU"/>
        </w:rPr>
        <w:t>oб</w:t>
      </w:r>
      <w:proofErr w:type="spellEnd"/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lang w:val="ru-RU" w:eastAsia="ru-RU"/>
        </w:rPr>
        <w:t xml:space="preserve"> определении порядка, структуры и условий</w:t>
      </w: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lang w:val="ru-RU" w:eastAsia="ru-RU"/>
        </w:rPr>
        <w:br/>
        <w:t>представления информации субъектами,</w:t>
      </w: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lang w:val="ru-RU" w:eastAsia="ru-RU"/>
        </w:rPr>
        <w:br/>
        <w:t>указанными в статье 92 и статье 226</w:t>
      </w:r>
      <w:r w:rsidRPr="001745B9">
        <w:rPr>
          <w:rFonts w:ascii="PT Serif" w:eastAsia="Times New Roman" w:hAnsi="PT Serif" w:cs="Times New Roman"/>
          <w:b/>
          <w:bCs/>
          <w:color w:val="333333"/>
          <w:sz w:val="18"/>
          <w:szCs w:val="18"/>
          <w:vertAlign w:val="superscript"/>
          <w:lang w:val="ru-RU" w:eastAsia="ru-RU"/>
        </w:rPr>
        <w:t>11</w:t>
      </w: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lang w:val="ru-RU" w:eastAsia="ru-RU"/>
        </w:rPr>
        <w:br/>
        <w:t>Налогового кодекса</w:t>
      </w:r>
    </w:p>
    <w:p w14:paraId="45D48615" w14:textId="77777777" w:rsidR="001745B9" w:rsidRPr="001745B9" w:rsidRDefault="001745B9" w:rsidP="001745B9">
      <w:pPr>
        <w:shd w:val="clear" w:color="auto" w:fill="FFFFFF"/>
        <w:spacing w:before="165" w:after="165" w:line="240" w:lineRule="auto"/>
        <w:outlineLvl w:val="3"/>
        <w:rPr>
          <w:rFonts w:ascii="PT Serif" w:eastAsia="Times New Roman" w:hAnsi="PT Serif" w:cs="Times New Roman"/>
          <w:color w:val="333333"/>
          <w:sz w:val="24"/>
          <w:szCs w:val="24"/>
          <w:lang w:val="ru-RU" w:eastAsia="ru-RU"/>
        </w:rPr>
      </w:pPr>
      <w:proofErr w:type="gramStart"/>
      <w:r w:rsidRPr="001745B9">
        <w:rPr>
          <w:rFonts w:ascii="PT Serif" w:eastAsia="Times New Roman" w:hAnsi="PT Serif" w:cs="Times New Roman"/>
          <w:color w:val="333333"/>
          <w:sz w:val="24"/>
          <w:szCs w:val="24"/>
          <w:lang w:val="ru-RU" w:eastAsia="ru-RU"/>
        </w:rPr>
        <w:t>Опубликован :</w:t>
      </w:r>
      <w:proofErr w:type="gramEnd"/>
      <w:r w:rsidRPr="001745B9">
        <w:rPr>
          <w:rFonts w:ascii="PT Serif" w:eastAsia="Times New Roman" w:hAnsi="PT Serif" w:cs="Times New Roman"/>
          <w:color w:val="333333"/>
          <w:sz w:val="24"/>
          <w:szCs w:val="24"/>
          <w:lang w:val="ru-RU" w:eastAsia="ru-RU"/>
        </w:rPr>
        <w:t xml:space="preserve"> 07-09-2018 в </w:t>
      </w:r>
      <w:proofErr w:type="spellStart"/>
      <w:r w:rsidRPr="001745B9">
        <w:rPr>
          <w:rFonts w:ascii="PT Serif" w:eastAsia="Times New Roman" w:hAnsi="PT Serif" w:cs="Times New Roman"/>
          <w:color w:val="333333"/>
          <w:sz w:val="24"/>
          <w:szCs w:val="24"/>
          <w:lang w:val="ru-RU" w:eastAsia="ru-RU"/>
        </w:rPr>
        <w:t>Monitorul</w:t>
      </w:r>
      <w:proofErr w:type="spellEnd"/>
      <w:r w:rsidRPr="001745B9">
        <w:rPr>
          <w:rFonts w:ascii="PT Serif" w:eastAsia="Times New Roman" w:hAnsi="PT Serif" w:cs="Times New Roman"/>
          <w:color w:val="333333"/>
          <w:sz w:val="24"/>
          <w:szCs w:val="24"/>
          <w:lang w:val="ru-RU" w:eastAsia="ru-RU"/>
        </w:rPr>
        <w:t xml:space="preserve"> </w:t>
      </w:r>
      <w:proofErr w:type="spellStart"/>
      <w:r w:rsidRPr="001745B9">
        <w:rPr>
          <w:rFonts w:ascii="PT Serif" w:eastAsia="Times New Roman" w:hAnsi="PT Serif" w:cs="Times New Roman"/>
          <w:color w:val="333333"/>
          <w:sz w:val="24"/>
          <w:szCs w:val="24"/>
          <w:lang w:val="ru-RU" w:eastAsia="ru-RU"/>
        </w:rPr>
        <w:t>Oficial</w:t>
      </w:r>
      <w:proofErr w:type="spellEnd"/>
      <w:r w:rsidRPr="001745B9">
        <w:rPr>
          <w:rFonts w:ascii="PT Serif" w:eastAsia="Times New Roman" w:hAnsi="PT Serif" w:cs="Times New Roman"/>
          <w:color w:val="333333"/>
          <w:sz w:val="24"/>
          <w:szCs w:val="24"/>
          <w:lang w:val="ru-RU" w:eastAsia="ru-RU"/>
        </w:rPr>
        <w:t xml:space="preserve"> № 336-346 статья № 1347</w:t>
      </w:r>
    </w:p>
    <w:p w14:paraId="0528AED2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i/>
          <w:iCs/>
          <w:color w:val="FF0000"/>
          <w:sz w:val="24"/>
          <w:szCs w:val="24"/>
          <w:shd w:val="clear" w:color="auto" w:fill="FFFFFF"/>
          <w:lang w:val="ru-RU" w:eastAsia="ru-RU"/>
        </w:rPr>
        <w:t>ИЗМЕНЕН</w:t>
      </w:r>
    </w:p>
    <w:p w14:paraId="04C763F1" w14:textId="77777777" w:rsidR="001745B9" w:rsidRPr="001745B9" w:rsidRDefault="00251085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hyperlink r:id="rId4" w:history="1">
        <w:r w:rsidR="001745B9" w:rsidRPr="001745B9">
          <w:rPr>
            <w:rFonts w:ascii="PT Serif" w:eastAsia="Times New Roman" w:hAnsi="PT Serif" w:cs="Times New Roman"/>
            <w:i/>
            <w:iCs/>
            <w:color w:val="0000FF"/>
            <w:sz w:val="24"/>
            <w:szCs w:val="24"/>
            <w:u w:val="single"/>
            <w:lang w:val="ru-RU" w:eastAsia="ru-RU"/>
          </w:rPr>
          <w:t>ПГНС481 от 02.10.2024, МО423-426/10.10.24 ст.791; в силу с 01.01.25</w:t>
        </w:r>
      </w:hyperlink>
    </w:p>
    <w:p w14:paraId="7051CA1F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 </w:t>
      </w:r>
    </w:p>
    <w:p w14:paraId="0CC40299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 </w:t>
      </w:r>
    </w:p>
    <w:p w14:paraId="56A45A75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В целях выполнения положений ст. 92 и ст. 226</w:t>
      </w:r>
      <w:r w:rsidRPr="001745B9">
        <w:rPr>
          <w:rFonts w:ascii="PT Serif" w:eastAsia="Times New Roman" w:hAnsi="PT Serif" w:cs="Times New Roman"/>
          <w:color w:val="333333"/>
          <w:sz w:val="18"/>
          <w:szCs w:val="18"/>
          <w:shd w:val="clear" w:color="auto" w:fill="FFFFFF"/>
          <w:vertAlign w:val="superscript"/>
          <w:lang w:val="ru-RU" w:eastAsia="ru-RU"/>
        </w:rPr>
        <w:t>11</w:t>
      </w: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 ч. (3) и ч. (4) Налогового кодекса №1163 - XIII от 24 апреля 1997 года (переизданный </w:t>
      </w:r>
      <w:proofErr w:type="spellStart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Monitorul</w:t>
      </w:r>
      <w:proofErr w:type="spellEnd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Oficial</w:t>
      </w:r>
      <w:proofErr w:type="spellEnd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al</w:t>
      </w:r>
      <w:proofErr w:type="spellEnd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Republicii</w:t>
      </w:r>
      <w:proofErr w:type="spellEnd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Moldova</w:t>
      </w:r>
      <w:proofErr w:type="spellEnd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, специальный выпуск от 8 февраля 2007), с последующими поправками и дополнениями, согласно ст. 1324 ч. (10) Налогового кодекса. ПРИКАЗЫВАЮ:</w:t>
      </w:r>
    </w:p>
    <w:p w14:paraId="7A2F2127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1. Утвердить порядок, структуру и сроки предоставления информации, предоставляемой в обязательном порядке Государственной налоговой службе, и пояснительные записки, в соответствии с нижеизложенным</w:t>
      </w:r>
    </w:p>
    <w:p w14:paraId="7D17CF86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1) </w:t>
      </w: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t>Финансовые учреждения</w:t>
      </w: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 – информацию о всех видах счетов, активных в течение налогового года, в том числе оборот (движение) по этим счетам, согласно приложению № 1 к приказу.</w:t>
      </w:r>
    </w:p>
    <w:p w14:paraId="15813959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2) </w:t>
      </w: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t>Туристические компании</w:t>
      </w: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 – информацию о предоставленных туристических услугах, согласно приложению № 2 к приказу.</w:t>
      </w:r>
    </w:p>
    <w:p w14:paraId="1981D3F1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3) </w:t>
      </w: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t>Страховые компании</w:t>
      </w: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 – информацию по договорам страхования, согласно приложению № 3 к приказу.</w:t>
      </w:r>
    </w:p>
    <w:p w14:paraId="24AC7867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lastRenderedPageBreak/>
        <w:t>4) </w:t>
      </w: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t>Держатели регистров владельцев ценных бумаг</w:t>
      </w: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 – информацию о сделках с ценными бумагами, совершенных в период налогового года, (ст. 22611 ч. (2) п. 6) Налогового кодекса) и информацию об определении налоговых обязательств, связанных с отчуждением активов физическими лицами (ст. 92 ч. (9) Налогового кодекса), согласно приложению № 4 к приказу.</w:t>
      </w:r>
    </w:p>
    <w:p w14:paraId="0793D592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5) </w:t>
      </w: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t>Национальный банк Молдовы</w:t>
      </w: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 – информацию о лицах, </w:t>
      </w:r>
      <w:proofErr w:type="gramStart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которые согласно валютному законодательству</w:t>
      </w:r>
      <w:proofErr w:type="gramEnd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 получили разрешение на открытие счетов за рубежом, а также отчеты по открытым за рубежом счетам, представленные в соответствии с законодательством их владельцами, согласно приложению № 5 и 5А к приказу;</w:t>
      </w:r>
    </w:p>
    <w:p w14:paraId="4D7506D3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6) </w:t>
      </w: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t>Нотариусы и другие лица, осуществляющие нотариальную деятельность,</w:t>
      </w: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 – информацию о договорах купли-продажи, мены, аренды недвижимости и ценных бумаг, о договорах займа и дарения, об иных договорах по капитальным активам (ст. 22611 ч. (2) п. 8) Налогового кодекса) и информацию об определении налоговых обязательств, связанных с отчуждением активов физическими лицами (ст. 92 ч. (9) Налогового кодекса), согласно приложению № 6 к приказу.</w:t>
      </w:r>
    </w:p>
    <w:p w14:paraId="1D939CC1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7) </w:t>
      </w: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t>Бюро кредитных историй </w:t>
      </w: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– информацию о субъектах кредитных историй–физических лицах и информацию о дебиторских задолженностях, согласно приложению № 8 к приказу.</w:t>
      </w:r>
    </w:p>
    <w:p w14:paraId="42F15242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8) </w:t>
      </w: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t>Судебные исполнители</w:t>
      </w: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 – информацию о реализации прав кредиторов, признанных исполнительным документом, представленным для исполнения, согласно приложению № 9 к приказу.</w:t>
      </w:r>
    </w:p>
    <w:p w14:paraId="3EED8605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9) </w:t>
      </w: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t>Лица, осуществляющие предпринимательскую деятельность, за исключением обладателей предпринимательских патентов и физических лиц, осуществляющих независимую деятельность,</w:t>
      </w: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 – информацию о произведенных физическими лицами затратах на покупку транспортных средств, согласно приложению № 10 к приказу.</w:t>
      </w:r>
    </w:p>
    <w:p w14:paraId="393B31B4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u w:val="single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10) </w:t>
      </w: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t>Лица, осуществляющие предпринимательскую деятельность, за исключением обладателей предпринимательских патентов и физических лиц, осуществляющих независимую деятельность, </w:t>
      </w: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– информацию об оформленных в течение налогового года займах от физических лиц и о займах, возвращенных физическим лицам, согласно </w:t>
      </w:r>
      <w:r w:rsidRPr="001745B9">
        <w:rPr>
          <w:rFonts w:ascii="PT Serif" w:eastAsia="Times New Roman" w:hAnsi="PT Serif" w:cs="Times New Roman"/>
          <w:color w:val="333333"/>
          <w:sz w:val="24"/>
          <w:szCs w:val="24"/>
          <w:u w:val="single"/>
          <w:shd w:val="clear" w:color="auto" w:fill="FFFFFF"/>
          <w:lang w:val="ru-RU" w:eastAsia="ru-RU"/>
        </w:rPr>
        <w:t>приложению № 11 к приказу.</w:t>
      </w:r>
    </w:p>
    <w:p w14:paraId="2EEE8F99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11) </w:t>
      </w: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t>Платежные общества</w:t>
      </w: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 – информацию о действиях или сделках, совершаемых физическими лицами в течение налогового года наличными, согласно приложению № 12 к приказу.</w:t>
      </w:r>
    </w:p>
    <w:p w14:paraId="1107A5D2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12) </w:t>
      </w: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t>Общества, выпускающие электронные деньги,</w:t>
      </w: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 – информацию о действиях или сделках, совершаемых физическими лицами в течение налогового года наличными, согласно приложению № 12 к приказу.</w:t>
      </w:r>
    </w:p>
    <w:p w14:paraId="6D711678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13) </w:t>
      </w: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t xml:space="preserve">Поставщики почтовых услуг, осуществляющие деятельность в соответствии с Законом о почтовой связи № 36/2016 и предоставляющие платежные услуги в соответствии с Законом о платежных услугах и электронных </w:t>
      </w: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lastRenderedPageBreak/>
        <w:t>деньгах № 114/2012,</w:t>
      </w: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 – информацию о действиях или сделках физических лиц в течение налогового года через системы денежных переводов, согласно приложению № 13 к приказу.</w:t>
      </w:r>
    </w:p>
    <w:p w14:paraId="2677E7BE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14) </w:t>
      </w: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t>Специализированные хозяйствующие субъекты (риэлторы)</w:t>
      </w: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 – информацию о договорах о сдаче во владение и/или пользование (в имущественный наем, аренду, узуфрукт) недвижимой собственности, заключенных физическими лицами, не занимающимися предпринимательской деятельностью, согласно приложению № 10 к приказу.</w:t>
      </w:r>
    </w:p>
    <w:p w14:paraId="61021819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2. Информация, предоставляемая в соответствии ст. 22611 Налогового кодекса, предоставляется о физических лицах-резидентах Республики Молдова, а информация, предоставляемая в соответствии со ст. 92 Налогового кодекса, </w:t>
      </w:r>
      <w:proofErr w:type="spellStart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предoставляется</w:t>
      </w:r>
      <w:proofErr w:type="spellEnd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 как о физических лицах-резидентах Республики Молдова, так и о физических лицах-нерезидентах. В случае невозможности определения или достоверности резидентства физического лица, рекомендуется представлять сведения обо всех физических лицах, не осуществляющих предпринимательскую деятельность.</w:t>
      </w:r>
    </w:p>
    <w:p w14:paraId="28635A24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3. Информацию, предоставляемую субъектами, указанными в пункте 1 </w:t>
      </w:r>
      <w:proofErr w:type="spellStart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пп</w:t>
      </w:r>
      <w:proofErr w:type="spellEnd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. 1) - 13) приказа, представлять ежегодно, не позднее 25 февраля года, следующего за отчетным налоговым годом.</w:t>
      </w:r>
    </w:p>
    <w:p w14:paraId="0685CF81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4. Информацию, предоставляемую субъектами, указанными в пункте 1 </w:t>
      </w:r>
      <w:proofErr w:type="spellStart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пп</w:t>
      </w:r>
      <w:proofErr w:type="spellEnd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. 14) приказа, представлять ежегодно, не позднее 25-го числа месяца, следующего за окончанием налогового года.</w:t>
      </w:r>
    </w:p>
    <w:p w14:paraId="567632B9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5. Информацию, указанную в пункте 1 настоящего приказа, предоставить Государственной налоговой службе, согласно приложениям к настоящему приказу, исключительно в электронном виде путем доступа к услуге Сбор информации из косвенных источников через Автоматизированную информационную систему «Личный кабинет налогоплательщика», расположенную на портале www.sfs.md, с применением усиленной квалифицированной электронной подписи.</w:t>
      </w:r>
    </w:p>
    <w:p w14:paraId="0F84B927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6. Для субъектов, указанных в пункте 1 </w:t>
      </w:r>
      <w:proofErr w:type="spellStart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пп</w:t>
      </w:r>
      <w:proofErr w:type="spellEnd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. 7), 9) - 14) приказа, первым отчетным периодом предоставления информации в соответствии с приложениями, утвержденными настоящим приказом, считать 2018 год.</w:t>
      </w:r>
    </w:p>
    <w:p w14:paraId="71BFCDC1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7. С даты вступления в силу настоящего приказа аннулировать Приказ ГГНС №16 от 14.01.2013 «Об установлении порядка, структуры и условий представления информации по предметам, указанным в ст. 92 и ст. 22611 Налогового кодекса.»</w:t>
      </w:r>
    </w:p>
    <w:p w14:paraId="664554FB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8. Главному управлению менеджмента рисков обеспечить опубликование приказа в </w:t>
      </w:r>
      <w:proofErr w:type="spellStart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Monitorul</w:t>
      </w:r>
      <w:proofErr w:type="spellEnd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Oficial</w:t>
      </w:r>
      <w:proofErr w:type="spellEnd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al</w:t>
      </w:r>
      <w:proofErr w:type="spellEnd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Republicii</w:t>
      </w:r>
      <w:proofErr w:type="spellEnd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 xml:space="preserve"> </w:t>
      </w:r>
      <w:proofErr w:type="spellStart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Moldova</w:t>
      </w:r>
      <w:proofErr w:type="spellEnd"/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.</w:t>
      </w:r>
    </w:p>
    <w:p w14:paraId="0CDA025E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9. Настоящий приказ вступает в силу 1 января 2019 года.</w:t>
      </w:r>
    </w:p>
    <w:p w14:paraId="79BC9BDE" w14:textId="7171795D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 </w:t>
      </w: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t>ДИРЕКТОР ГОСУДАРСТВЕННОЙ</w:t>
      </w:r>
    </w:p>
    <w:p w14:paraId="53B48696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t>НАЛОГОВОЙ СЛУЖБЫ                                                  Сергей ПУШКУЦА</w:t>
      </w:r>
    </w:p>
    <w:p w14:paraId="4F9C1AE8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  <w:t> </w:t>
      </w:r>
    </w:p>
    <w:p w14:paraId="32C11E22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PT Serif" w:eastAsia="Times New Roman" w:hAnsi="PT Serif" w:cs="Times New Roman"/>
          <w:color w:val="333333"/>
          <w:sz w:val="24"/>
          <w:szCs w:val="24"/>
          <w:shd w:val="clear" w:color="auto" w:fill="FFFFFF"/>
          <w:lang w:val="ru-RU" w:eastAsia="ru-RU"/>
        </w:rPr>
      </w:pPr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t xml:space="preserve">№ 427. </w:t>
      </w:r>
      <w:proofErr w:type="spellStart"/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t>Кишинэу</w:t>
      </w:r>
      <w:proofErr w:type="spellEnd"/>
      <w:r w:rsidRPr="001745B9">
        <w:rPr>
          <w:rFonts w:ascii="PT Serif" w:eastAsia="Times New Roman" w:hAnsi="PT Serif" w:cs="Times New Roman"/>
          <w:b/>
          <w:bCs/>
          <w:color w:val="333333"/>
          <w:sz w:val="24"/>
          <w:szCs w:val="24"/>
          <w:shd w:val="clear" w:color="auto" w:fill="FFFFFF"/>
          <w:lang w:val="ru-RU" w:eastAsia="ru-RU"/>
        </w:rPr>
        <w:t>, 21 августа 2018 г.</w:t>
      </w:r>
    </w:p>
    <w:p w14:paraId="1032592F" w14:textId="3CC6E3E4" w:rsidR="0039058B" w:rsidRPr="00BD3C72" w:rsidRDefault="0039058B" w:rsidP="001745B9">
      <w:pPr>
        <w:rPr>
          <w:lang w:val="ru-RU"/>
        </w:rPr>
      </w:pPr>
    </w:p>
    <w:p w14:paraId="52CF9CA8" w14:textId="77777777" w:rsidR="001745B9" w:rsidRDefault="001745B9" w:rsidP="001745B9">
      <w:pPr>
        <w:pStyle w:val="ListParagraph"/>
        <w:tabs>
          <w:tab w:val="center" w:pos="4844"/>
          <w:tab w:val="right" w:pos="9689"/>
        </w:tabs>
        <w:spacing w:after="0" w:line="240" w:lineRule="auto"/>
        <w:jc w:val="right"/>
        <w:rPr>
          <w:rFonts w:ascii="Times New Roman" w:eastAsia="Times New Roman" w:hAnsi="Times New Roman"/>
          <w:b/>
          <w:bCs/>
          <w:lang w:val="ro-RO"/>
        </w:rPr>
      </w:pPr>
      <w:r>
        <w:rPr>
          <w:rFonts w:ascii="Times New Roman" w:eastAsia="Times New Roman" w:hAnsi="Times New Roman"/>
          <w:b/>
          <w:bCs/>
          <w:lang w:val="ru-RU"/>
        </w:rPr>
        <w:t>Приложение № 11</w:t>
      </w:r>
    </w:p>
    <w:p w14:paraId="01B9ADC7" w14:textId="77777777" w:rsidR="001745B9" w:rsidRDefault="001745B9" w:rsidP="001745B9">
      <w:pPr>
        <w:pStyle w:val="ListParagraph"/>
        <w:tabs>
          <w:tab w:val="center" w:pos="4844"/>
          <w:tab w:val="right" w:pos="9689"/>
        </w:tabs>
        <w:spacing w:after="0" w:line="240" w:lineRule="auto"/>
        <w:jc w:val="right"/>
        <w:rPr>
          <w:rFonts w:ascii="Times New Roman" w:eastAsia="Times New Roman" w:hAnsi="Times New Roman"/>
          <w:b/>
          <w:bCs/>
          <w:lang w:val="ru-RU"/>
        </w:rPr>
      </w:pPr>
      <w:r>
        <w:rPr>
          <w:rFonts w:ascii="Times New Roman" w:eastAsia="Times New Roman" w:hAnsi="Times New Roman"/>
          <w:b/>
          <w:bCs/>
          <w:lang w:val="ru-RU"/>
        </w:rPr>
        <w:t xml:space="preserve"> к Приказу ГНС № 427 от 21.08.2018</w:t>
      </w:r>
    </w:p>
    <w:p w14:paraId="4B4C6F7A" w14:textId="77777777" w:rsidR="001745B9" w:rsidRDefault="001745B9" w:rsidP="001745B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lang w:val="ru-RU"/>
        </w:rPr>
      </w:pPr>
    </w:p>
    <w:p w14:paraId="4E5D8066" w14:textId="77777777" w:rsidR="001745B9" w:rsidRPr="001745B9" w:rsidRDefault="001745B9" w:rsidP="001745B9">
      <w:pPr>
        <w:spacing w:after="0" w:line="240" w:lineRule="auto"/>
        <w:ind w:firstLine="567"/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1745B9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 xml:space="preserve">Информация, предоставляемая </w:t>
      </w:r>
      <w:r w:rsidRPr="001745B9">
        <w:rPr>
          <w:rFonts w:ascii="Times New Roman" w:hAnsi="Times New Roman"/>
          <w:b/>
          <w:sz w:val="24"/>
          <w:szCs w:val="24"/>
          <w:lang w:val="ru-RU"/>
        </w:rPr>
        <w:t xml:space="preserve">лицами, осуществляющими предпринимательскую деятельность, за исключением обладателей предпринимательских патентов и физических лиц, осуществляющих </w:t>
      </w:r>
    </w:p>
    <w:p w14:paraId="7413BB2B" w14:textId="77777777" w:rsidR="001745B9" w:rsidRPr="001745B9" w:rsidRDefault="001745B9" w:rsidP="001745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745B9">
        <w:rPr>
          <w:rFonts w:ascii="Times New Roman" w:hAnsi="Times New Roman"/>
          <w:b/>
          <w:sz w:val="24"/>
          <w:szCs w:val="24"/>
          <w:lang w:val="ru-RU"/>
        </w:rPr>
        <w:t xml:space="preserve">независимую деятельность, об оформленных в течение налогового года </w:t>
      </w:r>
    </w:p>
    <w:p w14:paraId="340052F6" w14:textId="77777777" w:rsidR="001745B9" w:rsidRDefault="001745B9" w:rsidP="001745B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1745B9">
        <w:rPr>
          <w:rFonts w:ascii="Times New Roman" w:hAnsi="Times New Roman"/>
          <w:b/>
          <w:sz w:val="24"/>
          <w:szCs w:val="24"/>
          <w:lang w:val="ru-RU"/>
        </w:rPr>
        <w:t>займах от физических лиц и о займах, возвращенных физическим лицам, в соответствии с ст. 226</w:t>
      </w:r>
      <w:r w:rsidRPr="001745B9">
        <w:rPr>
          <w:rFonts w:ascii="Times New Roman" w:hAnsi="Times New Roman"/>
          <w:b/>
          <w:sz w:val="24"/>
          <w:szCs w:val="24"/>
          <w:vertAlign w:val="superscript"/>
          <w:lang w:val="ru-RU"/>
        </w:rPr>
        <w:t>11</w:t>
      </w:r>
      <w:r w:rsidRPr="001745B9">
        <w:rPr>
          <w:rFonts w:ascii="Times New Roman" w:hAnsi="Times New Roman"/>
          <w:b/>
          <w:sz w:val="24"/>
          <w:szCs w:val="24"/>
          <w:lang w:val="ru-RU"/>
        </w:rPr>
        <w:t xml:space="preserve">, пар. </w:t>
      </w:r>
      <w:r>
        <w:rPr>
          <w:rFonts w:ascii="Times New Roman" w:hAnsi="Times New Roman"/>
          <w:b/>
          <w:sz w:val="24"/>
          <w:szCs w:val="24"/>
        </w:rPr>
        <w:t xml:space="preserve">(5) </w:t>
      </w:r>
      <w:proofErr w:type="spellStart"/>
      <w:r>
        <w:rPr>
          <w:rFonts w:ascii="Times New Roman" w:hAnsi="Times New Roman"/>
          <w:b/>
          <w:sz w:val="24"/>
          <w:szCs w:val="24"/>
        </w:rPr>
        <w:t>пкт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i) </w:t>
      </w:r>
      <w:proofErr w:type="spellStart"/>
      <w:r>
        <w:rPr>
          <w:rFonts w:ascii="Times New Roman" w:hAnsi="Times New Roman"/>
          <w:b/>
          <w:sz w:val="24"/>
          <w:szCs w:val="24"/>
        </w:rPr>
        <w:t>Налогового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кодекса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14:paraId="0B7B8867" w14:textId="77777777" w:rsidR="001745B9" w:rsidRDefault="001745B9" w:rsidP="001745B9">
      <w:pPr>
        <w:pStyle w:val="NoSpacing"/>
        <w:tabs>
          <w:tab w:val="left" w:pos="33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2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753"/>
        <w:gridCol w:w="1230"/>
        <w:gridCol w:w="850"/>
        <w:gridCol w:w="851"/>
        <w:gridCol w:w="851"/>
        <w:gridCol w:w="850"/>
        <w:gridCol w:w="1437"/>
        <w:gridCol w:w="830"/>
        <w:gridCol w:w="992"/>
      </w:tblGrid>
      <w:tr w:rsidR="001745B9" w14:paraId="62C89D78" w14:textId="77777777" w:rsidTr="001745B9">
        <w:trPr>
          <w:trHeight w:val="1155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2C9383" w14:textId="77777777" w:rsidR="001745B9" w:rsidRDefault="00174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>№</w:t>
            </w:r>
          </w:p>
        </w:tc>
        <w:tc>
          <w:tcPr>
            <w:tcW w:w="7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23D5FD" w14:textId="77777777" w:rsidR="001745B9" w:rsidRDefault="00174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>IDNP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D53D1A" w14:textId="77777777" w:rsidR="001745B9" w:rsidRDefault="00174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>Имя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>фамилия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>физического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>лица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95E164" w14:textId="77777777" w:rsidR="001745B9" w:rsidRDefault="00174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>Начальное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>сальдо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F49617" w14:textId="77777777" w:rsidR="001745B9" w:rsidRDefault="00174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>Дебит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2EC540" w14:textId="77777777" w:rsidR="001745B9" w:rsidRDefault="00174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>Кредит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51FA60" w14:textId="77777777" w:rsidR="001745B9" w:rsidRDefault="00174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>Конечное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GB"/>
              </w:rPr>
              <w:t>сальдо</w:t>
            </w:r>
            <w:proofErr w:type="spellEnd"/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FEEB59" w14:textId="77777777" w:rsidR="001745B9" w:rsidRPr="001745B9" w:rsidRDefault="001745B9">
            <w:pPr>
              <w:pStyle w:val="HTMLPreformatted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745B9">
              <w:rPr>
                <w:rFonts w:ascii="Times New Roman" w:hAnsi="Times New Roman" w:cs="Times New Roman"/>
                <w:lang w:eastAsia="en-US"/>
              </w:rPr>
              <w:t>Дата ввода/вывода денежных средств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979131" w14:textId="77777777" w:rsidR="001745B9" w:rsidRDefault="001745B9">
            <w:pPr>
              <w:pStyle w:val="HTMLPreformatted"/>
              <w:spacing w:line="276" w:lineRule="auto"/>
              <w:jc w:val="center"/>
              <w:rPr>
                <w:rFonts w:ascii="Times New Roman" w:hAnsi="Times New Roman" w:cs="Times New Roman"/>
                <w:lang w:val="en-GB"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val="en-GB" w:eastAsia="en-US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lang w:val="en-GB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GB" w:eastAsia="en-US"/>
              </w:rPr>
              <w:t>операции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A9F92B" w14:textId="77777777" w:rsidR="001745B9" w:rsidRDefault="001745B9">
            <w:pPr>
              <w:pStyle w:val="HTMLPreformatted"/>
              <w:spacing w:line="276" w:lineRule="auto"/>
              <w:jc w:val="center"/>
              <w:rPr>
                <w:rFonts w:ascii="Times New Roman" w:hAnsi="Times New Roman" w:cs="Times New Roman"/>
                <w:lang w:val="en-GB"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val="en-GB" w:eastAsia="en-US"/>
              </w:rPr>
              <w:t>Примечание</w:t>
            </w:r>
            <w:proofErr w:type="spellEnd"/>
          </w:p>
        </w:tc>
      </w:tr>
      <w:tr w:rsidR="001745B9" w14:paraId="1F29EE42" w14:textId="77777777" w:rsidTr="001745B9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4DDCEF" w14:textId="77777777" w:rsidR="001745B9" w:rsidRDefault="00174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219C95" w14:textId="77777777" w:rsidR="001745B9" w:rsidRDefault="00174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80DF37" w14:textId="77777777" w:rsidR="001745B9" w:rsidRDefault="00174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0007B6" w14:textId="77777777" w:rsidR="001745B9" w:rsidRDefault="00174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34BCF0" w14:textId="77777777" w:rsidR="001745B9" w:rsidRDefault="00174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412BA3" w14:textId="77777777" w:rsidR="001745B9" w:rsidRDefault="00174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33EE26" w14:textId="77777777" w:rsidR="001745B9" w:rsidRDefault="00174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43EADE" w14:textId="77777777" w:rsidR="001745B9" w:rsidRDefault="00174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960FED" w14:textId="77777777" w:rsidR="001745B9" w:rsidRDefault="00174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EDE9AB" w14:textId="77777777" w:rsidR="001745B9" w:rsidRDefault="00174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10</w:t>
            </w:r>
          </w:p>
        </w:tc>
      </w:tr>
      <w:tr w:rsidR="001745B9" w14:paraId="4349BCD6" w14:textId="77777777" w:rsidTr="001745B9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A6291B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83B418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A0DAE8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FAB61E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2993CF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185026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C7CDD9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30C40A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DD950A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AB7F90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</w:tr>
      <w:tr w:rsidR="001745B9" w14:paraId="7ECE30DE" w14:textId="77777777" w:rsidTr="001745B9">
        <w:trPr>
          <w:trHeight w:val="39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DE2B97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3B357F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800381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1358D0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42DB3D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E1650F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EEEF9A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6ACA27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DA0086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530407" w14:textId="77777777" w:rsidR="001745B9" w:rsidRDefault="001745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  <w:t> </w:t>
            </w:r>
          </w:p>
        </w:tc>
      </w:tr>
    </w:tbl>
    <w:p w14:paraId="4735BAEB" w14:textId="77777777" w:rsidR="001745B9" w:rsidRDefault="001745B9" w:rsidP="001745B9">
      <w:pPr>
        <w:pStyle w:val="ListParagraph"/>
        <w:spacing w:after="0" w:line="240" w:lineRule="auto"/>
        <w:rPr>
          <w:rFonts w:ascii="Times New Roman" w:eastAsia="Times New Roman" w:hAnsi="Times New Roman"/>
          <w:b/>
          <w:bCs/>
        </w:rPr>
      </w:pPr>
    </w:p>
    <w:p w14:paraId="7350B664" w14:textId="77777777" w:rsidR="001745B9" w:rsidRDefault="001745B9" w:rsidP="001745B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14:paraId="7A71FF2E" w14:textId="77777777" w:rsidR="001745B9" w:rsidRDefault="001745B9" w:rsidP="001745B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02577470" w14:textId="77777777" w:rsidR="001745B9" w:rsidRPr="001745B9" w:rsidRDefault="001745B9" w:rsidP="001745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745B9">
        <w:rPr>
          <w:rFonts w:ascii="Times New Roman" w:hAnsi="Times New Roman"/>
          <w:b/>
          <w:sz w:val="24"/>
          <w:szCs w:val="24"/>
          <w:lang w:val="ru-RU"/>
        </w:rPr>
        <w:t>по заполнению Приложения № 11 «</w:t>
      </w:r>
      <w:r w:rsidRPr="001745B9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 xml:space="preserve">Информация, предоставляемая </w:t>
      </w:r>
      <w:r w:rsidRPr="001745B9">
        <w:rPr>
          <w:rFonts w:ascii="Times New Roman" w:hAnsi="Times New Roman"/>
          <w:b/>
          <w:sz w:val="24"/>
          <w:szCs w:val="24"/>
          <w:lang w:val="ru-RU"/>
        </w:rPr>
        <w:t xml:space="preserve">лицами, осуществляющими предпринимательскую деятельность, за исключением обладателей предпринимательских патентов и физических лиц, осуществляющих </w:t>
      </w:r>
    </w:p>
    <w:p w14:paraId="701A8F60" w14:textId="77777777" w:rsidR="001745B9" w:rsidRPr="001745B9" w:rsidRDefault="001745B9" w:rsidP="001745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745B9">
        <w:rPr>
          <w:rFonts w:ascii="Times New Roman" w:hAnsi="Times New Roman"/>
          <w:b/>
          <w:sz w:val="24"/>
          <w:szCs w:val="24"/>
          <w:lang w:val="ru-RU"/>
        </w:rPr>
        <w:t xml:space="preserve">независимую деятельность, об оформленных в течение налогового года </w:t>
      </w:r>
    </w:p>
    <w:p w14:paraId="45FB59E7" w14:textId="77777777" w:rsidR="001745B9" w:rsidRDefault="001745B9" w:rsidP="001745B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займах от физических лиц и о займах, возвращенных физическим лицам, в соответствии с ст. 226</w:t>
      </w:r>
      <w:r>
        <w:rPr>
          <w:rFonts w:ascii="Times New Roman" w:hAnsi="Times New Roman"/>
          <w:b/>
          <w:sz w:val="24"/>
          <w:szCs w:val="24"/>
          <w:vertAlign w:val="superscript"/>
        </w:rPr>
        <w:t>11</w:t>
      </w:r>
      <w:r>
        <w:rPr>
          <w:rFonts w:ascii="Times New Roman" w:hAnsi="Times New Roman"/>
          <w:b/>
          <w:sz w:val="24"/>
          <w:szCs w:val="24"/>
        </w:rPr>
        <w:t xml:space="preserve">, пар. (5) </w:t>
      </w:r>
      <w:proofErr w:type="spellStart"/>
      <w:r>
        <w:rPr>
          <w:rFonts w:ascii="Times New Roman" w:hAnsi="Times New Roman"/>
          <w:b/>
          <w:sz w:val="24"/>
          <w:szCs w:val="24"/>
        </w:rPr>
        <w:t>пкт</w:t>
      </w:r>
      <w:proofErr w:type="spellEnd"/>
      <w:r>
        <w:rPr>
          <w:rFonts w:ascii="Times New Roman" w:hAnsi="Times New Roman"/>
          <w:b/>
          <w:sz w:val="24"/>
          <w:szCs w:val="24"/>
        </w:rPr>
        <w:t>. i) Налогового кодекса»</w:t>
      </w:r>
    </w:p>
    <w:p w14:paraId="56B4BF6B" w14:textId="77777777" w:rsidR="001745B9" w:rsidRDefault="001745B9" w:rsidP="001745B9">
      <w:pPr>
        <w:pStyle w:val="NoSpacing"/>
        <w:tabs>
          <w:tab w:val="left" w:pos="3330"/>
        </w:tabs>
        <w:rPr>
          <w:rFonts w:ascii="Times New Roman" w:hAnsi="Times New Roman"/>
          <w:sz w:val="24"/>
          <w:szCs w:val="24"/>
        </w:rPr>
      </w:pPr>
    </w:p>
    <w:p w14:paraId="6F20572A" w14:textId="77777777" w:rsidR="001745B9" w:rsidRPr="001745B9" w:rsidRDefault="001745B9" w:rsidP="001745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745B9">
        <w:rPr>
          <w:rFonts w:ascii="Times New Roman" w:hAnsi="Times New Roman"/>
          <w:b/>
          <w:sz w:val="24"/>
          <w:szCs w:val="24"/>
          <w:lang w:val="ru-RU"/>
        </w:rPr>
        <w:t xml:space="preserve">1. </w:t>
      </w:r>
      <w:r w:rsidRPr="001745B9">
        <w:rPr>
          <w:rFonts w:ascii="Times New Roman" w:hAnsi="Times New Roman"/>
          <w:b/>
          <w:sz w:val="24"/>
          <w:szCs w:val="24"/>
          <w:lang w:val="ru-RU"/>
        </w:rPr>
        <w:tab/>
      </w:r>
      <w:r w:rsidRPr="001745B9">
        <w:rPr>
          <w:rFonts w:ascii="Times New Roman" w:hAnsi="Times New Roman"/>
          <w:sz w:val="24"/>
          <w:szCs w:val="24"/>
          <w:lang w:val="ru-RU"/>
        </w:rPr>
        <w:t>В соответствии с положениями ст. 226</w:t>
      </w:r>
      <w:r w:rsidRPr="001745B9">
        <w:rPr>
          <w:rFonts w:ascii="Times New Roman" w:hAnsi="Times New Roman"/>
          <w:sz w:val="24"/>
          <w:szCs w:val="24"/>
          <w:vertAlign w:val="superscript"/>
          <w:lang w:val="ru-RU"/>
        </w:rPr>
        <w:t xml:space="preserve">11 </w:t>
      </w:r>
      <w:r w:rsidRPr="001745B9">
        <w:rPr>
          <w:rFonts w:ascii="Times New Roman" w:hAnsi="Times New Roman"/>
          <w:sz w:val="24"/>
          <w:szCs w:val="24"/>
          <w:lang w:val="ru-RU"/>
        </w:rPr>
        <w:t>Налогового кодекса, лица, осуществляющие предпринимательскую деятельность, за исключением обладателей предпринимательских патентов и физических лиц, осуществляющих независимую деятельность, предоставляют информацию об оформленных в течение налогового года займах от физических лиц и о займах, возвращенных физическим лицам.</w:t>
      </w:r>
    </w:p>
    <w:p w14:paraId="46BCEAA8" w14:textId="77777777" w:rsidR="001745B9" w:rsidRDefault="001745B9" w:rsidP="001745B9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Информация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предоставляется в случае если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оформление/возврат займов в течение налогового года, отраженных в бухгалтерском учете предприятия, в совокупности превышают сумму в 200 тысяч леев. В данное приложение вносятся данные по займам, предоставленным налогоплательщику физическими лицами, на основании договоров, заключенных после 1 января 2018 года или действительных на 1 января 2018 года. </w:t>
      </w:r>
    </w:p>
    <w:p w14:paraId="5883075F" w14:textId="77777777" w:rsidR="001745B9" w:rsidRDefault="001745B9" w:rsidP="001745B9">
      <w:pPr>
        <w:pStyle w:val="NoSpacing"/>
        <w:tabs>
          <w:tab w:val="left" w:pos="709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 xml:space="preserve">Информация представляется ​​в формате </w:t>
      </w:r>
      <w:proofErr w:type="spellStart"/>
      <w:r>
        <w:rPr>
          <w:rFonts w:ascii="Times New Roman" w:hAnsi="Times New Roman"/>
          <w:sz w:val="24"/>
          <w:szCs w:val="24"/>
        </w:rPr>
        <w:t>xml</w:t>
      </w:r>
      <w:proofErr w:type="spellEnd"/>
      <w:r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>
        <w:rPr>
          <w:rFonts w:ascii="Times New Roman" w:hAnsi="Times New Roman"/>
          <w:sz w:val="24"/>
          <w:szCs w:val="24"/>
        </w:rPr>
        <w:t>Excel</w:t>
      </w:r>
      <w:proofErr w:type="spellEnd"/>
      <w:r>
        <w:rPr>
          <w:rFonts w:ascii="Times New Roman" w:hAnsi="Times New Roman"/>
          <w:sz w:val="24"/>
          <w:szCs w:val="24"/>
        </w:rPr>
        <w:t xml:space="preserve">. В случае предоставления информации в формате </w:t>
      </w:r>
      <w:proofErr w:type="spellStart"/>
      <w:r>
        <w:rPr>
          <w:rFonts w:ascii="Times New Roman" w:hAnsi="Times New Roman"/>
          <w:sz w:val="24"/>
          <w:szCs w:val="24"/>
        </w:rPr>
        <w:t>Excel</w:t>
      </w:r>
      <w:proofErr w:type="spellEnd"/>
      <w:r>
        <w:rPr>
          <w:rFonts w:ascii="Times New Roman" w:hAnsi="Times New Roman"/>
          <w:sz w:val="24"/>
          <w:szCs w:val="24"/>
        </w:rPr>
        <w:t xml:space="preserve">, заполнение колонках 4,5,6 и 7 обязательно в числовом формате. </w:t>
      </w:r>
    </w:p>
    <w:p w14:paraId="35BEA745" w14:textId="77777777" w:rsidR="001745B9" w:rsidRDefault="001745B9" w:rsidP="001745B9">
      <w:pPr>
        <w:pStyle w:val="NoSpacing"/>
        <w:tabs>
          <w:tab w:val="left" w:pos="709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информацию, представляемую в соответствии с Приложением № 11 вносятся следующие данные:</w:t>
      </w:r>
    </w:p>
    <w:p w14:paraId="6E23E126" w14:textId="77777777" w:rsidR="001745B9" w:rsidRDefault="001745B9" w:rsidP="001745B9">
      <w:pPr>
        <w:pStyle w:val="HTMLPreformatted"/>
        <w:jc w:val="both"/>
      </w:pPr>
      <w:r>
        <w:rPr>
          <w:rFonts w:ascii="Times New Roman" w:hAnsi="Times New Roman" w:cs="Times New Roman"/>
          <w:sz w:val="24"/>
          <w:szCs w:val="24"/>
        </w:rPr>
        <w:tab/>
        <w:t xml:space="preserve"> в кол.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1 </w:t>
      </w:r>
      <w:r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№</w:t>
      </w:r>
      <w:r>
        <w:rPr>
          <w:rFonts w:ascii="Times New Roman" w:hAnsi="Times New Roman"/>
          <w:bCs/>
          <w:sz w:val="24"/>
          <w:szCs w:val="24"/>
        </w:rPr>
        <w:t xml:space="preserve">» </w:t>
      </w:r>
      <w:r>
        <w:rPr>
          <w:rFonts w:ascii="Times New Roman" w:hAnsi="Times New Roman"/>
          <w:noProof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порядковый номер записи, на всех страницах в приложении, независимо от количества страниц;</w:t>
      </w:r>
    </w:p>
    <w:p w14:paraId="71815BE6" w14:textId="77777777" w:rsidR="001745B9" w:rsidRDefault="001745B9" w:rsidP="001745B9">
      <w:pPr>
        <w:pStyle w:val="NoSpacing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</w:rPr>
        <w:t>в кол.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noProof/>
          <w:sz w:val="24"/>
          <w:szCs w:val="24"/>
        </w:rPr>
        <w:t xml:space="preserve"> «</w:t>
      </w:r>
      <w:r>
        <w:rPr>
          <w:rFonts w:ascii="Times New Roman" w:eastAsia="Times New Roman" w:hAnsi="Times New Roman"/>
          <w:bCs/>
          <w:sz w:val="24"/>
          <w:szCs w:val="24"/>
        </w:rPr>
        <w:t>IDNP»</w:t>
      </w:r>
      <w:r>
        <w:rPr>
          <w:rFonts w:ascii="Times New Roman" w:hAnsi="Times New Roman"/>
          <w:noProof/>
          <w:sz w:val="24"/>
          <w:szCs w:val="24"/>
        </w:rPr>
        <w:t xml:space="preserve"> – </w:t>
      </w:r>
      <w:proofErr w:type="gramStart"/>
      <w:r>
        <w:rPr>
          <w:rFonts w:ascii="Times New Roman" w:hAnsi="Times New Roman"/>
          <w:sz w:val="24"/>
          <w:szCs w:val="24"/>
        </w:rPr>
        <w:t>идентификационный номер (фискальный код) физического лица</w:t>
      </w:r>
      <w:proofErr w:type="gramEnd"/>
      <w:r>
        <w:rPr>
          <w:rFonts w:ascii="Times New Roman" w:hAnsi="Times New Roman"/>
          <w:sz w:val="24"/>
          <w:szCs w:val="24"/>
        </w:rPr>
        <w:t xml:space="preserve"> которое предоставило </w:t>
      </w:r>
      <w:proofErr w:type="spellStart"/>
      <w:r>
        <w:rPr>
          <w:rFonts w:ascii="Times New Roman" w:hAnsi="Times New Roman"/>
          <w:sz w:val="24"/>
          <w:szCs w:val="24"/>
        </w:rPr>
        <w:t>займ</w:t>
      </w:r>
      <w:proofErr w:type="spellEnd"/>
      <w:r>
        <w:rPr>
          <w:rFonts w:ascii="Times New Roman" w:hAnsi="Times New Roman"/>
          <w:sz w:val="24"/>
          <w:szCs w:val="24"/>
        </w:rPr>
        <w:t xml:space="preserve"> экономическому агенту или которое получило возврат займа от экономического агента;</w:t>
      </w:r>
    </w:p>
    <w:p w14:paraId="0AAF7261" w14:textId="77777777" w:rsidR="001745B9" w:rsidRDefault="001745B9" w:rsidP="001745B9">
      <w:pPr>
        <w:pStyle w:val="NoSpacing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кол.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noProof/>
          <w:sz w:val="24"/>
          <w:szCs w:val="24"/>
        </w:rPr>
        <w:t xml:space="preserve"> «</w:t>
      </w:r>
      <w:r>
        <w:rPr>
          <w:rFonts w:ascii="Times New Roman" w:eastAsia="Times New Roman" w:hAnsi="Times New Roman"/>
          <w:bCs/>
          <w:sz w:val="24"/>
          <w:szCs w:val="24"/>
        </w:rPr>
        <w:t>Имя, фамилия физического лица»</w:t>
      </w:r>
      <w:r>
        <w:rPr>
          <w:rFonts w:ascii="Times New Roman" w:hAnsi="Times New Roman"/>
          <w:noProof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данные о и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мени, </w:t>
      </w:r>
      <w:proofErr w:type="gramStart"/>
      <w:r>
        <w:rPr>
          <w:rFonts w:ascii="Times New Roman" w:eastAsia="Times New Roman" w:hAnsi="Times New Roman"/>
          <w:bCs/>
          <w:sz w:val="24"/>
          <w:szCs w:val="24"/>
        </w:rPr>
        <w:t xml:space="preserve">фамилии </w:t>
      </w:r>
      <w:r>
        <w:rPr>
          <w:rFonts w:ascii="Times New Roman" w:hAnsi="Times New Roman"/>
          <w:sz w:val="24"/>
          <w:szCs w:val="24"/>
        </w:rPr>
        <w:t>физического лица</w:t>
      </w:r>
      <w:proofErr w:type="gram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которое предоставило кредит экономическому агенту или которое получило возврат займа от экономического агента</w:t>
      </w:r>
      <w:r>
        <w:rPr>
          <w:rFonts w:ascii="Times New Roman" w:hAnsi="Times New Roman"/>
          <w:noProof/>
          <w:sz w:val="24"/>
          <w:szCs w:val="24"/>
        </w:rPr>
        <w:t>;</w:t>
      </w:r>
    </w:p>
    <w:p w14:paraId="07C3B567" w14:textId="77777777" w:rsidR="001745B9" w:rsidRDefault="001745B9" w:rsidP="001745B9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 кол.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noProof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Начальное сальдо</w:t>
      </w:r>
      <w:r>
        <w:rPr>
          <w:rFonts w:ascii="Times New Roman" w:hAnsi="Times New Roman"/>
          <w:bCs/>
          <w:sz w:val="24"/>
          <w:szCs w:val="24"/>
        </w:rPr>
        <w:t>»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– указывается сальдо</w:t>
      </w:r>
      <w:r>
        <w:rPr>
          <w:rFonts w:ascii="Times New Roman" w:hAnsi="Times New Roman" w:cs="Times New Roman"/>
          <w:sz w:val="24"/>
          <w:szCs w:val="24"/>
        </w:rPr>
        <w:t xml:space="preserve"> займа в соответствии с данными бухгалтерского учета хозяйствующего субъекта (на 1 января отчетного года);</w:t>
      </w:r>
    </w:p>
    <w:p w14:paraId="7A12F2CD" w14:textId="77777777" w:rsidR="001745B9" w:rsidRDefault="001745B9" w:rsidP="001745B9">
      <w:pPr>
        <w:pStyle w:val="HTMLPreformatted"/>
        <w:jc w:val="both"/>
      </w:pP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При вводе начального </w:t>
      </w:r>
      <w:r>
        <w:rPr>
          <w:rFonts w:ascii="Times New Roman" w:hAnsi="Times New Roman" w:cs="Times New Roman"/>
          <w:bCs/>
          <w:sz w:val="24"/>
          <w:szCs w:val="24"/>
        </w:rPr>
        <w:t>сальдо</w:t>
      </w:r>
      <w:r>
        <w:rPr>
          <w:rFonts w:ascii="Times New Roman" w:hAnsi="Times New Roman" w:cs="Times New Roman"/>
          <w:sz w:val="24"/>
          <w:szCs w:val="24"/>
        </w:rPr>
        <w:t xml:space="preserve"> в колонку 9 указывается код «0» для каждого </w:t>
      </w:r>
      <w:r>
        <w:rPr>
          <w:rFonts w:ascii="Times New Roman" w:hAnsi="Times New Roman" w:cs="Times New Roman"/>
          <w:bCs/>
          <w:sz w:val="24"/>
          <w:szCs w:val="24"/>
        </w:rPr>
        <w:t>физического лица в</w:t>
      </w:r>
      <w:r>
        <w:rPr>
          <w:rFonts w:ascii="Times New Roman" w:hAnsi="Times New Roman" w:cs="Times New Roman"/>
          <w:sz w:val="24"/>
          <w:szCs w:val="24"/>
        </w:rPr>
        <w:t xml:space="preserve"> отдельности</w:t>
      </w:r>
      <w:r>
        <w:t>.</w:t>
      </w:r>
    </w:p>
    <w:p w14:paraId="43F9A021" w14:textId="77777777" w:rsidR="001745B9" w:rsidRDefault="001745B9" w:rsidP="001745B9">
      <w:pPr>
        <w:pStyle w:val="NoSpacing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 случае, если физическое лицо предоставило </w:t>
      </w:r>
      <w:proofErr w:type="spellStart"/>
      <w:r>
        <w:rPr>
          <w:rFonts w:ascii="Times New Roman" w:hAnsi="Times New Roman"/>
          <w:sz w:val="24"/>
          <w:szCs w:val="24"/>
        </w:rPr>
        <w:t>займ</w:t>
      </w:r>
      <w:proofErr w:type="spellEnd"/>
      <w:r>
        <w:rPr>
          <w:rFonts w:ascii="Times New Roman" w:hAnsi="Times New Roman"/>
          <w:sz w:val="24"/>
          <w:szCs w:val="24"/>
        </w:rPr>
        <w:t xml:space="preserve"> юридическому/физическому лицу, осуществляющему предпринимательскую деятельность, начальное </w:t>
      </w:r>
      <w:r>
        <w:rPr>
          <w:rFonts w:ascii="Times New Roman" w:eastAsia="Times New Roman" w:hAnsi="Times New Roman"/>
          <w:bCs/>
          <w:sz w:val="24"/>
          <w:szCs w:val="24"/>
        </w:rPr>
        <w:t>сальдо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указывается</w:t>
      </w:r>
      <w:r>
        <w:rPr>
          <w:rFonts w:ascii="Times New Roman" w:hAnsi="Times New Roman"/>
          <w:sz w:val="24"/>
          <w:szCs w:val="24"/>
        </w:rPr>
        <w:t xml:space="preserve"> положительным.</w:t>
      </w:r>
    </w:p>
    <w:p w14:paraId="5A80DCFD" w14:textId="77777777" w:rsidR="001745B9" w:rsidRDefault="001745B9" w:rsidP="001745B9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 кол.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Дебит»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указывается сумма займа, возвращенная физическому лицу экономическим агентом по каждой операции, в соответствии с данными бухгалтерского учета экономического агента;</w:t>
      </w:r>
    </w:p>
    <w:p w14:paraId="1CAACF4C" w14:textId="77777777" w:rsidR="001745B9" w:rsidRDefault="001745B9" w:rsidP="001745B9">
      <w:pPr>
        <w:pStyle w:val="NoSpacing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кол.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noProof/>
          <w:sz w:val="24"/>
          <w:szCs w:val="24"/>
        </w:rPr>
        <w:t xml:space="preserve"> «</w:t>
      </w:r>
      <w:r>
        <w:rPr>
          <w:rFonts w:ascii="Times New Roman" w:eastAsia="Times New Roman" w:hAnsi="Times New Roman"/>
          <w:bCs/>
          <w:sz w:val="24"/>
          <w:szCs w:val="24"/>
        </w:rPr>
        <w:t>Кредит»</w:t>
      </w:r>
      <w:r>
        <w:rPr>
          <w:rFonts w:ascii="Times New Roman" w:hAnsi="Times New Roman"/>
          <w:noProof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указывается сумма займа, предоставленная физическим лицом экономическому агенту по каждой операции, в соответствии с данными бухгалтерского учета экономического агента</w:t>
      </w:r>
      <w:r>
        <w:rPr>
          <w:rFonts w:ascii="Times New Roman" w:hAnsi="Times New Roman"/>
          <w:noProof/>
          <w:sz w:val="24"/>
          <w:szCs w:val="24"/>
        </w:rPr>
        <w:t>;</w:t>
      </w:r>
    </w:p>
    <w:p w14:paraId="5FDF53F9" w14:textId="77777777" w:rsidR="001745B9" w:rsidRDefault="001745B9" w:rsidP="001745B9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кол.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7 «</w:t>
      </w:r>
      <w:r>
        <w:rPr>
          <w:rFonts w:ascii="Times New Roman" w:hAnsi="Times New Roman" w:cs="Times New Roman"/>
          <w:bCs/>
          <w:sz w:val="24"/>
          <w:szCs w:val="24"/>
        </w:rPr>
        <w:t>Конечное сальдо</w:t>
      </w:r>
      <w:r>
        <w:rPr>
          <w:rFonts w:ascii="Times New Roman" w:hAnsi="Times New Roman"/>
          <w:bCs/>
          <w:sz w:val="24"/>
          <w:szCs w:val="24"/>
        </w:rPr>
        <w:t>»</w:t>
      </w:r>
      <w:r>
        <w:rPr>
          <w:rFonts w:ascii="Times New Roman" w:hAnsi="Times New Roman"/>
          <w:noProof/>
          <w:sz w:val="24"/>
          <w:szCs w:val="24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</w:rPr>
        <w:t>указывается сальдо</w:t>
      </w:r>
      <w:r>
        <w:rPr>
          <w:rFonts w:ascii="Times New Roman" w:hAnsi="Times New Roman" w:cs="Times New Roman"/>
          <w:sz w:val="24"/>
          <w:szCs w:val="24"/>
        </w:rPr>
        <w:t xml:space="preserve"> займа в соответствии с данными бухгалтерского учета хозяйствующего субъекта (на 31 декабря отчетного года);</w:t>
      </w:r>
    </w:p>
    <w:p w14:paraId="15A56E99" w14:textId="77777777" w:rsidR="001745B9" w:rsidRDefault="001745B9" w:rsidP="001745B9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 кол.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Дата ввода/вывода денежных средств» </w:t>
      </w:r>
      <w:r>
        <w:rPr>
          <w:rFonts w:ascii="Times New Roman" w:hAnsi="Times New Roman" w:cs="Times New Roman"/>
          <w:noProof/>
          <w:sz w:val="24"/>
          <w:szCs w:val="24"/>
        </w:rPr>
        <w:t>– указывается</w:t>
      </w:r>
      <w:r>
        <w:rPr>
          <w:rFonts w:ascii="Times New Roman" w:hAnsi="Times New Roman" w:cs="Times New Roman"/>
          <w:sz w:val="24"/>
          <w:szCs w:val="24"/>
        </w:rPr>
        <w:t xml:space="preserve"> дата ввода/вывода денежных средств в/из владения физического лица, указывается в соответствии с данными бухгалтерского учета хозяйствующего субъекта;</w:t>
      </w:r>
    </w:p>
    <w:p w14:paraId="06908FB8" w14:textId="2949DC4C" w:rsidR="001745B9" w:rsidRDefault="001745B9" w:rsidP="001745B9">
      <w:pPr>
        <w:pStyle w:val="NoSpacing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кол.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noProof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Код операции» </w:t>
      </w:r>
      <w:r>
        <w:rPr>
          <w:rFonts w:ascii="Times New Roman" w:hAnsi="Times New Roman"/>
          <w:noProof/>
          <w:sz w:val="24"/>
          <w:szCs w:val="24"/>
        </w:rPr>
        <w:t>– указывается к</w:t>
      </w:r>
      <w:r>
        <w:rPr>
          <w:rFonts w:ascii="Times New Roman" w:hAnsi="Times New Roman"/>
          <w:sz w:val="24"/>
          <w:szCs w:val="24"/>
        </w:rPr>
        <w:t>од операции ввода/вывода денежных средств, соответственно: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</w:p>
    <w:p w14:paraId="11951EA9" w14:textId="77777777" w:rsidR="00251085" w:rsidRDefault="00251085" w:rsidP="001745B9">
      <w:pPr>
        <w:pStyle w:val="NoSpacing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3"/>
        <w:gridCol w:w="1277"/>
      </w:tblGrid>
      <w:tr w:rsidR="001745B9" w14:paraId="5F2A3318" w14:textId="77777777" w:rsidTr="001745B9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38CB" w14:textId="77777777" w:rsidR="001745B9" w:rsidRDefault="001745B9">
            <w:pPr>
              <w:pStyle w:val="NoSpacing"/>
              <w:spacing w:line="276" w:lineRule="auto"/>
              <w:jc w:val="both"/>
              <w:rPr>
                <w:rFonts w:ascii="Times New Roman" w:eastAsia="Times New Roman" w:hAnsi="Times New Roman"/>
                <w:b/>
                <w:i/>
                <w:noProof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noProof/>
                <w:sz w:val="24"/>
                <w:szCs w:val="24"/>
                <w:lang w:val="en-GB" w:eastAsia="zh-CN"/>
              </w:rPr>
              <w:t>Название операции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DB15F" w14:textId="77777777" w:rsidR="001745B9" w:rsidRDefault="001745B9">
            <w:pPr>
              <w:pStyle w:val="NoSpacing"/>
              <w:spacing w:line="276" w:lineRule="auto"/>
              <w:jc w:val="both"/>
              <w:rPr>
                <w:rFonts w:ascii="Times New Roman" w:eastAsia="Times New Roman" w:hAnsi="Times New Roman"/>
                <w:b/>
                <w:i/>
                <w:noProof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zh-CN"/>
              </w:rPr>
              <w:t>к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GB" w:eastAsia="zh-CN"/>
              </w:rPr>
              <w:t>од</w:t>
            </w:r>
            <w:proofErr w:type="spellEnd"/>
          </w:p>
        </w:tc>
      </w:tr>
      <w:tr w:rsidR="001745B9" w14:paraId="1ED3B9DB" w14:textId="77777777" w:rsidTr="001745B9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718A6" w14:textId="77777777" w:rsidR="001745B9" w:rsidRPr="001745B9" w:rsidRDefault="001745B9">
            <w:pPr>
              <w:pStyle w:val="NoSpacing"/>
              <w:spacing w:line="276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pPr>
            <w:r w:rsidRPr="001745B9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Начальное сальдо и конечное сальдо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99EF3" w14:textId="77777777" w:rsidR="001745B9" w:rsidRDefault="001745B9">
            <w:pPr>
              <w:pStyle w:val="NoSpacing"/>
              <w:spacing w:line="276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zh-CN"/>
              </w:rPr>
              <w:t>0</w:t>
            </w:r>
          </w:p>
        </w:tc>
      </w:tr>
      <w:tr w:rsidR="001745B9" w14:paraId="208AC8C5" w14:textId="77777777" w:rsidTr="001745B9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DB76A" w14:textId="77777777" w:rsidR="001745B9" w:rsidRDefault="001745B9">
            <w:pPr>
              <w:pStyle w:val="NoSpacing"/>
              <w:spacing w:line="276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zh-CN"/>
              </w:rPr>
              <w:t xml:space="preserve">Наличными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2178" w14:textId="77777777" w:rsidR="001745B9" w:rsidRDefault="001745B9">
            <w:pPr>
              <w:pStyle w:val="NoSpacing"/>
              <w:spacing w:line="276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zh-CN"/>
              </w:rPr>
              <w:t>1</w:t>
            </w:r>
          </w:p>
        </w:tc>
      </w:tr>
      <w:tr w:rsidR="001745B9" w14:paraId="6952A59C" w14:textId="77777777" w:rsidTr="001745B9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4EEAF" w14:textId="77777777" w:rsidR="001745B9" w:rsidRDefault="001745B9">
            <w:pPr>
              <w:pStyle w:val="NoSpacing"/>
              <w:spacing w:line="276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zh-CN"/>
              </w:rPr>
              <w:t>Перечисление/Перевод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55D21" w14:textId="77777777" w:rsidR="001745B9" w:rsidRDefault="001745B9">
            <w:pPr>
              <w:pStyle w:val="NoSpacing"/>
              <w:spacing w:line="276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zh-CN"/>
              </w:rPr>
              <w:t>2</w:t>
            </w:r>
          </w:p>
        </w:tc>
      </w:tr>
      <w:tr w:rsidR="001745B9" w14:paraId="54D85B0D" w14:textId="77777777" w:rsidTr="001745B9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83DCC" w14:textId="77777777" w:rsidR="001745B9" w:rsidRDefault="001745B9">
            <w:pPr>
              <w:pStyle w:val="HTMLPreformatted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  <w:t>Цессии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  <w:t>принятие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GB" w:eastAsia="en-US"/>
              </w:rPr>
              <w:t>задолженности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772B5" w14:textId="77777777" w:rsidR="001745B9" w:rsidRDefault="001745B9">
            <w:pPr>
              <w:pStyle w:val="NoSpacing"/>
              <w:spacing w:line="276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zh-CN"/>
              </w:rPr>
              <w:t>3</w:t>
            </w:r>
          </w:p>
        </w:tc>
      </w:tr>
      <w:tr w:rsidR="001745B9" w14:paraId="4A823674" w14:textId="77777777" w:rsidTr="001745B9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DEA3" w14:textId="77777777" w:rsidR="001745B9" w:rsidRDefault="001745B9">
            <w:pPr>
              <w:pStyle w:val="NoSpacing"/>
              <w:spacing w:line="276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zh-CN"/>
              </w:rPr>
              <w:t>Другие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ECFAE" w14:textId="77777777" w:rsidR="001745B9" w:rsidRDefault="001745B9">
            <w:pPr>
              <w:pStyle w:val="NoSpacing"/>
              <w:spacing w:line="276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zh-CN"/>
              </w:rPr>
              <w:t>4</w:t>
            </w:r>
          </w:p>
        </w:tc>
      </w:tr>
    </w:tbl>
    <w:p w14:paraId="006FDDBB" w14:textId="77777777" w:rsidR="001745B9" w:rsidRDefault="001745B9" w:rsidP="001745B9">
      <w:pPr>
        <w:pStyle w:val="NoSpacing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5E99FD63" w14:textId="77777777" w:rsidR="001745B9" w:rsidRDefault="001745B9" w:rsidP="001745B9">
      <w:pPr>
        <w:pStyle w:val="HTMLPreformatted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 кол.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10</w:t>
      </w:r>
      <w:r>
        <w:rPr>
          <w:rFonts w:ascii="Times New Roman" w:hAnsi="Times New Roman"/>
          <w:noProof/>
          <w:sz w:val="24"/>
          <w:szCs w:val="24"/>
        </w:rPr>
        <w:t xml:space="preserve"> «П</w:t>
      </w:r>
      <w:r>
        <w:rPr>
          <w:rFonts w:ascii="Times New Roman" w:hAnsi="Times New Roman" w:cs="Times New Roman"/>
          <w:sz w:val="24"/>
          <w:szCs w:val="24"/>
        </w:rPr>
        <w:t>римечание»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– </w:t>
      </w:r>
      <w:r>
        <w:rPr>
          <w:rFonts w:ascii="Times New Roman" w:hAnsi="Times New Roman" w:cs="Times New Roman"/>
          <w:noProof/>
          <w:sz w:val="24"/>
          <w:szCs w:val="24"/>
        </w:rPr>
        <w:t>указывается</w:t>
      </w:r>
      <w:r>
        <w:rPr>
          <w:rFonts w:ascii="Times New Roman" w:hAnsi="Times New Roman" w:cs="Times New Roman"/>
          <w:sz w:val="24"/>
          <w:szCs w:val="24"/>
        </w:rPr>
        <w:t xml:space="preserve"> другая информация указывается при необходимости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549AB07B" w14:textId="77777777" w:rsidR="001745B9" w:rsidRPr="001745B9" w:rsidRDefault="001745B9" w:rsidP="001745B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hAnsi="Calibri" w:cs="Times New Roman"/>
          <w:lang w:val="ru-RU"/>
        </w:rPr>
      </w:pPr>
    </w:p>
    <w:p w14:paraId="352163EA" w14:textId="77777777" w:rsidR="001745B9" w:rsidRPr="001745B9" w:rsidRDefault="001745B9" w:rsidP="001745B9">
      <w:pPr>
        <w:rPr>
          <w:lang w:val="ru-RU"/>
        </w:rPr>
      </w:pPr>
    </w:p>
    <w:sectPr w:rsidR="001745B9" w:rsidRPr="001745B9" w:rsidSect="001745B9">
      <w:pgSz w:w="12240" w:h="15840"/>
      <w:pgMar w:top="1440" w:right="9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erif">
    <w:altName w:val="PT Serif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5B9"/>
    <w:rsid w:val="001745B9"/>
    <w:rsid w:val="00251085"/>
    <w:rsid w:val="0039058B"/>
    <w:rsid w:val="00BD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BBDF6"/>
  <w15:chartTrackingRefBased/>
  <w15:docId w15:val="{EE09AA1B-6A78-4941-85A5-4DC92EE82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1745B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745B9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1745B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74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1745B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1745B9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45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45B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NoSpacing">
    <w:name w:val="No Spacing"/>
    <w:uiPriority w:val="1"/>
    <w:qFormat/>
    <w:rsid w:val="001745B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ListParagraph">
    <w:name w:val="List Paragraph"/>
    <w:basedOn w:val="Normal"/>
    <w:uiPriority w:val="34"/>
    <w:qFormat/>
    <w:rsid w:val="001745B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54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egis.md/cautare/getResults?doc_id=145344&amp;lang=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1651</Words>
  <Characters>9417</Characters>
  <Application>Microsoft Office Word</Application>
  <DocSecurity>0</DocSecurity>
  <Lines>78</Lines>
  <Paragraphs>22</Paragraphs>
  <ScaleCrop>false</ScaleCrop>
  <Company/>
  <LinksUpToDate>false</LinksUpToDate>
  <CharactersWithSpaces>11046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Iuliana</dc:creator>
  <cp:keywords/>
  <dc:description/>
  <cp:lastModifiedBy>Iuliana</cp:lastModifiedBy>
  <cp:revision>5</cp:revision>
  <dcterms:created xsi:type="dcterms:W3CDTF">2025-01-30T10:10:00Z</dcterms:created>
  <dcterms:modified xsi:type="dcterms:W3CDTF">2025-01-30T10:20:00Z</dcterms:modified>
</cp:coreProperties>
</file>