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D7C23" w14:textId="77777777" w:rsidR="009D68FA" w:rsidRDefault="009D68FA" w:rsidP="00866EBD">
      <w:pPr>
        <w:tabs>
          <w:tab w:val="left" w:pos="851"/>
        </w:tabs>
        <w:spacing w:after="0"/>
        <w:ind w:firstLine="567"/>
        <w:jc w:val="right"/>
        <w:rPr>
          <w:bCs/>
          <w:color w:val="000000"/>
          <w:sz w:val="24"/>
          <w:szCs w:val="24"/>
          <w:lang w:val="ro-MD"/>
        </w:rPr>
      </w:pPr>
    </w:p>
    <w:p w14:paraId="0A23E997" w14:textId="1B22A5C0" w:rsidR="00F45315" w:rsidRPr="00866EBD" w:rsidRDefault="00F45315" w:rsidP="00866EBD">
      <w:pPr>
        <w:tabs>
          <w:tab w:val="left" w:pos="851"/>
        </w:tabs>
        <w:spacing w:after="0"/>
        <w:ind w:firstLine="567"/>
        <w:jc w:val="right"/>
        <w:rPr>
          <w:bCs/>
          <w:color w:val="000000"/>
          <w:sz w:val="24"/>
          <w:szCs w:val="24"/>
        </w:rPr>
      </w:pPr>
      <w:r w:rsidRPr="00866EBD">
        <w:rPr>
          <w:bCs/>
          <w:color w:val="000000"/>
          <w:sz w:val="24"/>
          <w:szCs w:val="24"/>
        </w:rPr>
        <w:t>Приложение 7</w:t>
      </w:r>
    </w:p>
    <w:p w14:paraId="1EC4EAF3" w14:textId="77777777" w:rsidR="00F45315" w:rsidRPr="002553C7" w:rsidRDefault="00F45315" w:rsidP="00F45315">
      <w:pPr>
        <w:tabs>
          <w:tab w:val="left" w:pos="851"/>
        </w:tabs>
        <w:spacing w:after="0"/>
        <w:ind w:firstLine="567"/>
        <w:jc w:val="center"/>
        <w:rPr>
          <w:bCs/>
          <w:color w:val="000000"/>
          <w:sz w:val="24"/>
          <w:szCs w:val="24"/>
        </w:rPr>
      </w:pPr>
    </w:p>
    <w:p w14:paraId="677CA248" w14:textId="77777777" w:rsidR="009D68FA" w:rsidRDefault="009D68FA" w:rsidP="00F45315">
      <w:pPr>
        <w:tabs>
          <w:tab w:val="left" w:pos="851"/>
        </w:tabs>
        <w:spacing w:after="0"/>
        <w:ind w:firstLine="567"/>
        <w:jc w:val="center"/>
        <w:rPr>
          <w:b/>
          <w:bCs/>
          <w:color w:val="000000"/>
          <w:sz w:val="24"/>
          <w:szCs w:val="24"/>
          <w:lang w:val="ro-MD"/>
        </w:rPr>
      </w:pPr>
    </w:p>
    <w:p w14:paraId="03761C63" w14:textId="20D005D6" w:rsidR="00F45315" w:rsidRPr="002553C7" w:rsidRDefault="00F45315" w:rsidP="00F45315">
      <w:pPr>
        <w:tabs>
          <w:tab w:val="left" w:pos="851"/>
        </w:tabs>
        <w:spacing w:after="0"/>
        <w:ind w:firstLine="567"/>
        <w:jc w:val="center"/>
        <w:rPr>
          <w:b/>
          <w:bCs/>
          <w:color w:val="000000"/>
          <w:sz w:val="24"/>
          <w:szCs w:val="24"/>
        </w:rPr>
      </w:pPr>
      <w:r w:rsidRPr="002553C7">
        <w:rPr>
          <w:b/>
          <w:bCs/>
          <w:color w:val="000000"/>
          <w:sz w:val="24"/>
          <w:szCs w:val="24"/>
        </w:rPr>
        <w:t>Категории отходов, разрешенных к импорту</w:t>
      </w:r>
    </w:p>
    <w:p w14:paraId="56A35B54" w14:textId="631FD8E4" w:rsidR="00F45315" w:rsidRDefault="00F45315" w:rsidP="00C028F1">
      <w:pPr>
        <w:tabs>
          <w:tab w:val="left" w:pos="851"/>
        </w:tabs>
        <w:spacing w:after="0"/>
        <w:ind w:firstLine="567"/>
        <w:jc w:val="center"/>
        <w:rPr>
          <w:b/>
          <w:bCs/>
          <w:color w:val="000000"/>
          <w:sz w:val="24"/>
          <w:szCs w:val="24"/>
          <w:lang w:val="ro-MD"/>
        </w:rPr>
      </w:pPr>
      <w:r w:rsidRPr="002553C7">
        <w:rPr>
          <w:b/>
          <w:bCs/>
          <w:color w:val="000000"/>
          <w:sz w:val="24"/>
          <w:szCs w:val="24"/>
        </w:rPr>
        <w:t>в Республику Молдова</w:t>
      </w:r>
    </w:p>
    <w:p w14:paraId="179E6F3E" w14:textId="77777777" w:rsidR="009D68FA" w:rsidRPr="009D68FA" w:rsidRDefault="009D68FA" w:rsidP="00C028F1">
      <w:pPr>
        <w:tabs>
          <w:tab w:val="left" w:pos="851"/>
        </w:tabs>
        <w:spacing w:after="0"/>
        <w:ind w:firstLine="567"/>
        <w:jc w:val="center"/>
        <w:rPr>
          <w:b/>
          <w:bCs/>
          <w:color w:val="000000"/>
          <w:sz w:val="24"/>
          <w:szCs w:val="24"/>
          <w:lang w:val="ro-MD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419"/>
        <w:gridCol w:w="6660"/>
      </w:tblGrid>
      <w:tr w:rsidR="00F45315" w:rsidRPr="00750FC0" w14:paraId="2E2BF1B3" w14:textId="77777777" w:rsidTr="00750FC0">
        <w:trPr>
          <w:trHeight w:val="20"/>
          <w:jc w:val="center"/>
        </w:trPr>
        <w:tc>
          <w:tcPr>
            <w:tcW w:w="929" w:type="pct"/>
            <w:vAlign w:val="center"/>
          </w:tcPr>
          <w:p w14:paraId="53F3893F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750FC0">
              <w:rPr>
                <w:b/>
                <w:bCs/>
                <w:color w:val="000000"/>
                <w:sz w:val="22"/>
              </w:rPr>
              <w:t>Товарная позиция</w:t>
            </w:r>
          </w:p>
          <w:p w14:paraId="40E506A9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ind w:firstLine="851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15" w:type="pct"/>
            <w:vAlign w:val="center"/>
          </w:tcPr>
          <w:p w14:paraId="2D3D53E4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750FC0">
              <w:rPr>
                <w:b/>
                <w:bCs/>
                <w:color w:val="000000"/>
                <w:sz w:val="22"/>
              </w:rPr>
              <w:t>Код согласно Базельской конвенции</w:t>
            </w:r>
          </w:p>
        </w:tc>
        <w:tc>
          <w:tcPr>
            <w:tcW w:w="3357" w:type="pct"/>
            <w:vAlign w:val="center"/>
          </w:tcPr>
          <w:p w14:paraId="24C82B25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750FC0">
              <w:rPr>
                <w:b/>
                <w:bCs/>
                <w:color w:val="000000"/>
                <w:sz w:val="22"/>
              </w:rPr>
              <w:t>Название товаров</w:t>
            </w:r>
          </w:p>
        </w:tc>
      </w:tr>
      <w:tr w:rsidR="00F45315" w:rsidRPr="00750FC0" w14:paraId="092C21F9" w14:textId="77777777" w:rsidTr="00750FC0">
        <w:trPr>
          <w:trHeight w:val="20"/>
          <w:jc w:val="center"/>
        </w:trPr>
        <w:tc>
          <w:tcPr>
            <w:tcW w:w="929" w:type="pct"/>
          </w:tcPr>
          <w:p w14:paraId="66E42FE6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4707</w:t>
            </w:r>
          </w:p>
        </w:tc>
        <w:tc>
          <w:tcPr>
            <w:tcW w:w="715" w:type="pct"/>
          </w:tcPr>
          <w:p w14:paraId="5B0E7C85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</w:t>
            </w:r>
          </w:p>
        </w:tc>
        <w:tc>
          <w:tcPr>
            <w:tcW w:w="3357" w:type="pct"/>
          </w:tcPr>
          <w:p w14:paraId="55CBDEB8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Перерабатываемые бумага или картон (отходы и макулатура):</w:t>
            </w:r>
          </w:p>
        </w:tc>
      </w:tr>
      <w:tr w:rsidR="00F45315" w:rsidRPr="00750FC0" w14:paraId="366277B7" w14:textId="77777777" w:rsidTr="00750FC0">
        <w:trPr>
          <w:trHeight w:val="20"/>
          <w:jc w:val="center"/>
        </w:trPr>
        <w:tc>
          <w:tcPr>
            <w:tcW w:w="929" w:type="pct"/>
          </w:tcPr>
          <w:p w14:paraId="7D1FFADC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4707 10 000</w:t>
            </w:r>
          </w:p>
        </w:tc>
        <w:tc>
          <w:tcPr>
            <w:tcW w:w="715" w:type="pct"/>
          </w:tcPr>
          <w:p w14:paraId="4EE7CCF9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B3020</w:t>
            </w:r>
          </w:p>
        </w:tc>
        <w:tc>
          <w:tcPr>
            <w:tcW w:w="3357" w:type="pct"/>
          </w:tcPr>
          <w:p w14:paraId="2DAF3A75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 небеленые крафт-бумага или картон-крафт либо гофрированные бумага или картон</w:t>
            </w:r>
          </w:p>
        </w:tc>
      </w:tr>
      <w:tr w:rsidR="00F45315" w:rsidRPr="00750FC0" w14:paraId="44D04DE3" w14:textId="77777777" w:rsidTr="00750FC0">
        <w:trPr>
          <w:trHeight w:val="20"/>
          <w:jc w:val="center"/>
        </w:trPr>
        <w:tc>
          <w:tcPr>
            <w:tcW w:w="929" w:type="pct"/>
          </w:tcPr>
          <w:p w14:paraId="7A977FD1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4707 20 000</w:t>
            </w:r>
          </w:p>
        </w:tc>
        <w:tc>
          <w:tcPr>
            <w:tcW w:w="715" w:type="pct"/>
          </w:tcPr>
          <w:p w14:paraId="210F7B0D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B3020</w:t>
            </w:r>
          </w:p>
        </w:tc>
        <w:tc>
          <w:tcPr>
            <w:tcW w:w="3357" w:type="pct"/>
          </w:tcPr>
          <w:p w14:paraId="69F05A97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 бумага или картон прочие, полученные в основном из беленой целлюлозы, не окрашенные в массе</w:t>
            </w:r>
          </w:p>
        </w:tc>
      </w:tr>
      <w:tr w:rsidR="00F45315" w:rsidRPr="00750FC0" w14:paraId="27D91A7C" w14:textId="77777777" w:rsidTr="00750FC0">
        <w:trPr>
          <w:trHeight w:val="20"/>
          <w:jc w:val="center"/>
        </w:trPr>
        <w:tc>
          <w:tcPr>
            <w:tcW w:w="929" w:type="pct"/>
          </w:tcPr>
          <w:p w14:paraId="0648E10C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4707 30</w:t>
            </w:r>
          </w:p>
        </w:tc>
        <w:tc>
          <w:tcPr>
            <w:tcW w:w="715" w:type="pct"/>
          </w:tcPr>
          <w:p w14:paraId="34EE4C32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B3020</w:t>
            </w:r>
          </w:p>
        </w:tc>
        <w:tc>
          <w:tcPr>
            <w:tcW w:w="3357" w:type="pct"/>
          </w:tcPr>
          <w:p w14:paraId="34EDF4E7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 бумага или картон, полученные в основном из древесной массы (например, газеты, журналы и подобная печатная продукция):</w:t>
            </w:r>
          </w:p>
        </w:tc>
      </w:tr>
      <w:tr w:rsidR="00F45315" w:rsidRPr="00750FC0" w14:paraId="1B50B8CF" w14:textId="77777777" w:rsidTr="00750FC0">
        <w:trPr>
          <w:trHeight w:val="20"/>
          <w:jc w:val="center"/>
        </w:trPr>
        <w:tc>
          <w:tcPr>
            <w:tcW w:w="929" w:type="pct"/>
          </w:tcPr>
          <w:p w14:paraId="4ED9D559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4707 30 100</w:t>
            </w:r>
          </w:p>
        </w:tc>
        <w:tc>
          <w:tcPr>
            <w:tcW w:w="715" w:type="pct"/>
          </w:tcPr>
          <w:p w14:paraId="15DA8A0E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B3020</w:t>
            </w:r>
          </w:p>
        </w:tc>
        <w:tc>
          <w:tcPr>
            <w:tcW w:w="3357" w:type="pct"/>
          </w:tcPr>
          <w:p w14:paraId="7BEF02F0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 старые и непроданные газеты и журналы, телефонные справочники, брошюры и печатная рекламная продукция</w:t>
            </w:r>
          </w:p>
        </w:tc>
      </w:tr>
      <w:tr w:rsidR="00F45315" w:rsidRPr="00750FC0" w14:paraId="39E05E47" w14:textId="77777777" w:rsidTr="00750FC0">
        <w:trPr>
          <w:trHeight w:val="20"/>
          <w:jc w:val="center"/>
        </w:trPr>
        <w:tc>
          <w:tcPr>
            <w:tcW w:w="929" w:type="pct"/>
          </w:tcPr>
          <w:p w14:paraId="02CEAE5A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4707 30 900</w:t>
            </w:r>
          </w:p>
        </w:tc>
        <w:tc>
          <w:tcPr>
            <w:tcW w:w="715" w:type="pct"/>
          </w:tcPr>
          <w:p w14:paraId="4E035B4E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B3020</w:t>
            </w:r>
          </w:p>
        </w:tc>
        <w:tc>
          <w:tcPr>
            <w:tcW w:w="3357" w:type="pct"/>
          </w:tcPr>
          <w:p w14:paraId="71D2AA68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 прочие</w:t>
            </w:r>
          </w:p>
        </w:tc>
      </w:tr>
      <w:tr w:rsidR="00F45315" w:rsidRPr="00750FC0" w14:paraId="717B425F" w14:textId="77777777" w:rsidTr="00750FC0">
        <w:trPr>
          <w:trHeight w:val="20"/>
          <w:jc w:val="center"/>
        </w:trPr>
        <w:tc>
          <w:tcPr>
            <w:tcW w:w="929" w:type="pct"/>
          </w:tcPr>
          <w:p w14:paraId="6F8DA56D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4707 90</w:t>
            </w:r>
          </w:p>
        </w:tc>
        <w:tc>
          <w:tcPr>
            <w:tcW w:w="715" w:type="pct"/>
          </w:tcPr>
          <w:p w14:paraId="28104C6C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B3020</w:t>
            </w:r>
          </w:p>
        </w:tc>
        <w:tc>
          <w:tcPr>
            <w:tcW w:w="3357" w:type="pct"/>
          </w:tcPr>
          <w:p w14:paraId="14508E99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 прочие, включая неотсортированные отходы и макулатуру:</w:t>
            </w:r>
          </w:p>
        </w:tc>
      </w:tr>
      <w:tr w:rsidR="00F45315" w:rsidRPr="00750FC0" w14:paraId="0198BD8F" w14:textId="77777777" w:rsidTr="00750FC0">
        <w:trPr>
          <w:trHeight w:val="20"/>
          <w:jc w:val="center"/>
        </w:trPr>
        <w:tc>
          <w:tcPr>
            <w:tcW w:w="929" w:type="pct"/>
          </w:tcPr>
          <w:p w14:paraId="20AE1898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4707 90 100</w:t>
            </w:r>
          </w:p>
        </w:tc>
        <w:tc>
          <w:tcPr>
            <w:tcW w:w="715" w:type="pct"/>
          </w:tcPr>
          <w:p w14:paraId="51F25037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B3020</w:t>
            </w:r>
          </w:p>
        </w:tc>
        <w:tc>
          <w:tcPr>
            <w:tcW w:w="3357" w:type="pct"/>
          </w:tcPr>
          <w:p w14:paraId="57FC3561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  неотсортированные</w:t>
            </w:r>
          </w:p>
        </w:tc>
      </w:tr>
      <w:tr w:rsidR="00F45315" w:rsidRPr="00750FC0" w14:paraId="13CC24B3" w14:textId="77777777" w:rsidTr="00750FC0">
        <w:trPr>
          <w:trHeight w:val="20"/>
          <w:jc w:val="center"/>
        </w:trPr>
        <w:tc>
          <w:tcPr>
            <w:tcW w:w="929" w:type="pct"/>
          </w:tcPr>
          <w:p w14:paraId="5BACB8F7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4707 90 900</w:t>
            </w:r>
          </w:p>
        </w:tc>
        <w:tc>
          <w:tcPr>
            <w:tcW w:w="715" w:type="pct"/>
          </w:tcPr>
          <w:p w14:paraId="0C40C768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B3020</w:t>
            </w:r>
          </w:p>
        </w:tc>
        <w:tc>
          <w:tcPr>
            <w:tcW w:w="3357" w:type="pct"/>
          </w:tcPr>
          <w:p w14:paraId="2C2EA066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 отсортированные</w:t>
            </w:r>
          </w:p>
        </w:tc>
      </w:tr>
      <w:tr w:rsidR="00F45315" w:rsidRPr="00750FC0" w14:paraId="50EE0506" w14:textId="77777777" w:rsidTr="00750FC0">
        <w:trPr>
          <w:trHeight w:val="20"/>
          <w:jc w:val="center"/>
        </w:trPr>
        <w:tc>
          <w:tcPr>
            <w:tcW w:w="929" w:type="pct"/>
          </w:tcPr>
          <w:p w14:paraId="19A8B0FC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5202</w:t>
            </w:r>
          </w:p>
        </w:tc>
        <w:tc>
          <w:tcPr>
            <w:tcW w:w="715" w:type="pct"/>
          </w:tcPr>
          <w:p w14:paraId="779A71BC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B3030</w:t>
            </w:r>
          </w:p>
        </w:tc>
        <w:tc>
          <w:tcPr>
            <w:tcW w:w="3357" w:type="pct"/>
          </w:tcPr>
          <w:p w14:paraId="7B0A305B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Отходы хлопкового волокна (включая прядильные отходы и расщипанное сырье):</w:t>
            </w:r>
          </w:p>
        </w:tc>
      </w:tr>
      <w:tr w:rsidR="00F45315" w:rsidRPr="00750FC0" w14:paraId="663E7590" w14:textId="77777777" w:rsidTr="00750FC0">
        <w:trPr>
          <w:trHeight w:val="20"/>
          <w:jc w:val="center"/>
        </w:trPr>
        <w:tc>
          <w:tcPr>
            <w:tcW w:w="929" w:type="pct"/>
          </w:tcPr>
          <w:p w14:paraId="56439BA8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7001 00</w:t>
            </w:r>
          </w:p>
        </w:tc>
        <w:tc>
          <w:tcPr>
            <w:tcW w:w="715" w:type="pct"/>
          </w:tcPr>
          <w:p w14:paraId="7AB76C1F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</w:t>
            </w:r>
          </w:p>
        </w:tc>
        <w:tc>
          <w:tcPr>
            <w:tcW w:w="3357" w:type="pct"/>
          </w:tcPr>
          <w:p w14:paraId="69BBD746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Бой стеклянный, скрап и прочие отходы стекла, кроме стекла из катодно-лучевых трубок или другого активного стекла товарной позиции 8549; стекло в блоках:</w:t>
            </w:r>
          </w:p>
        </w:tc>
      </w:tr>
      <w:tr w:rsidR="00F45315" w:rsidRPr="00750FC0" w14:paraId="662E47C7" w14:textId="77777777" w:rsidTr="00750FC0">
        <w:trPr>
          <w:trHeight w:val="20"/>
          <w:jc w:val="center"/>
        </w:trPr>
        <w:tc>
          <w:tcPr>
            <w:tcW w:w="929" w:type="pct"/>
          </w:tcPr>
          <w:p w14:paraId="05310D0D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7001 00 100</w:t>
            </w:r>
          </w:p>
        </w:tc>
        <w:tc>
          <w:tcPr>
            <w:tcW w:w="715" w:type="pct"/>
          </w:tcPr>
          <w:p w14:paraId="45CE693D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B2020</w:t>
            </w:r>
          </w:p>
          <w:p w14:paraId="1AA827DF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B2040</w:t>
            </w:r>
          </w:p>
          <w:p w14:paraId="400E6044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GE020</w:t>
            </w:r>
          </w:p>
        </w:tc>
        <w:tc>
          <w:tcPr>
            <w:tcW w:w="3357" w:type="pct"/>
          </w:tcPr>
          <w:p w14:paraId="028FEAC5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 xml:space="preserve">– бой стеклянный, скрап и прочие отходы стекла </w:t>
            </w:r>
          </w:p>
        </w:tc>
      </w:tr>
      <w:tr w:rsidR="00F45315" w:rsidRPr="00750FC0" w14:paraId="6A3932D3" w14:textId="77777777" w:rsidTr="00750FC0">
        <w:trPr>
          <w:trHeight w:val="20"/>
          <w:jc w:val="center"/>
        </w:trPr>
        <w:tc>
          <w:tcPr>
            <w:tcW w:w="929" w:type="pct"/>
          </w:tcPr>
          <w:p w14:paraId="188490B0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7204</w:t>
            </w:r>
          </w:p>
        </w:tc>
        <w:tc>
          <w:tcPr>
            <w:tcW w:w="715" w:type="pct"/>
          </w:tcPr>
          <w:p w14:paraId="30AF6FED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B1010</w:t>
            </w:r>
          </w:p>
          <w:p w14:paraId="5565B595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B1030</w:t>
            </w:r>
          </w:p>
          <w:p w14:paraId="39F3F0D8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B1040</w:t>
            </w:r>
          </w:p>
          <w:p w14:paraId="5E6B4E88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B1100</w:t>
            </w:r>
          </w:p>
          <w:p w14:paraId="55B09CDC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B1250</w:t>
            </w:r>
          </w:p>
          <w:p w14:paraId="737E7B83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B1115</w:t>
            </w:r>
          </w:p>
          <w:p w14:paraId="56553764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GC010</w:t>
            </w:r>
          </w:p>
          <w:p w14:paraId="1E3AD943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GC020</w:t>
            </w:r>
          </w:p>
        </w:tc>
        <w:tc>
          <w:tcPr>
            <w:tcW w:w="3357" w:type="pct"/>
          </w:tcPr>
          <w:p w14:paraId="52ADA253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Отходы и лом черных металлов; слитки черных металлов для переплавки (шихтовые слитки):</w:t>
            </w:r>
          </w:p>
        </w:tc>
      </w:tr>
      <w:tr w:rsidR="00F45315" w:rsidRPr="00750FC0" w14:paraId="459C7620" w14:textId="77777777" w:rsidTr="00750FC0">
        <w:trPr>
          <w:trHeight w:val="20"/>
          <w:jc w:val="center"/>
        </w:trPr>
        <w:tc>
          <w:tcPr>
            <w:tcW w:w="929" w:type="pct"/>
          </w:tcPr>
          <w:p w14:paraId="2F5FBF57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2401 30 000</w:t>
            </w:r>
          </w:p>
        </w:tc>
        <w:tc>
          <w:tcPr>
            <w:tcW w:w="715" w:type="pct"/>
          </w:tcPr>
          <w:p w14:paraId="073C3BA9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B3060</w:t>
            </w:r>
          </w:p>
        </w:tc>
        <w:tc>
          <w:tcPr>
            <w:tcW w:w="3357" w:type="pct"/>
          </w:tcPr>
          <w:p w14:paraId="2CC967B6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 xml:space="preserve">– табачные отходы </w:t>
            </w:r>
          </w:p>
        </w:tc>
      </w:tr>
      <w:tr w:rsidR="00F45315" w:rsidRPr="00750FC0" w14:paraId="0F807324" w14:textId="77777777" w:rsidTr="00750FC0">
        <w:trPr>
          <w:trHeight w:val="20"/>
          <w:jc w:val="center"/>
        </w:trPr>
        <w:tc>
          <w:tcPr>
            <w:tcW w:w="929" w:type="pct"/>
          </w:tcPr>
          <w:p w14:paraId="1E6C8EA1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2307 00</w:t>
            </w:r>
          </w:p>
        </w:tc>
        <w:tc>
          <w:tcPr>
            <w:tcW w:w="715" w:type="pct"/>
          </w:tcPr>
          <w:p w14:paraId="45A88AA2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B3060</w:t>
            </w:r>
          </w:p>
        </w:tc>
        <w:tc>
          <w:tcPr>
            <w:tcW w:w="3357" w:type="pct"/>
          </w:tcPr>
          <w:p w14:paraId="6DDB4204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Винный отстой; винный камень:</w:t>
            </w:r>
          </w:p>
        </w:tc>
      </w:tr>
      <w:tr w:rsidR="00F45315" w:rsidRPr="00750FC0" w14:paraId="5354A4FD" w14:textId="77777777" w:rsidTr="00750FC0">
        <w:trPr>
          <w:trHeight w:val="20"/>
          <w:jc w:val="center"/>
        </w:trPr>
        <w:tc>
          <w:tcPr>
            <w:tcW w:w="929" w:type="pct"/>
          </w:tcPr>
          <w:p w14:paraId="4DCDDDE8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2618 00 000</w:t>
            </w:r>
          </w:p>
        </w:tc>
        <w:tc>
          <w:tcPr>
            <w:tcW w:w="715" w:type="pct"/>
          </w:tcPr>
          <w:p w14:paraId="6DC6DF1A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B1200</w:t>
            </w:r>
          </w:p>
        </w:tc>
        <w:tc>
          <w:tcPr>
            <w:tcW w:w="3357" w:type="pct"/>
          </w:tcPr>
          <w:p w14:paraId="0169CFC7" w14:textId="77777777" w:rsidR="00F45315" w:rsidRPr="00750FC0" w:rsidRDefault="00F45315" w:rsidP="00866EBD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Гранулированный доменный шлак (шлаковый песок) от производства чугуна, железа или стали</w:t>
            </w:r>
          </w:p>
        </w:tc>
      </w:tr>
      <w:tr w:rsidR="00D24EFA" w:rsidRPr="00750FC0" w14:paraId="0ED0FFB0" w14:textId="77777777" w:rsidTr="00750FC0">
        <w:trPr>
          <w:trHeight w:val="20"/>
          <w:jc w:val="center"/>
        </w:trPr>
        <w:tc>
          <w:tcPr>
            <w:tcW w:w="929" w:type="pct"/>
          </w:tcPr>
          <w:p w14:paraId="2D58C2FE" w14:textId="1F7C2E03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F8614E">
              <w:rPr>
                <w:sz w:val="22"/>
              </w:rPr>
              <w:t>2619 00</w:t>
            </w:r>
          </w:p>
        </w:tc>
        <w:tc>
          <w:tcPr>
            <w:tcW w:w="715" w:type="pct"/>
          </w:tcPr>
          <w:p w14:paraId="413D5488" w14:textId="79FDF105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F8614E">
              <w:rPr>
                <w:sz w:val="22"/>
              </w:rPr>
              <w:t>–</w:t>
            </w:r>
          </w:p>
        </w:tc>
        <w:tc>
          <w:tcPr>
            <w:tcW w:w="3357" w:type="pct"/>
          </w:tcPr>
          <w:p w14:paraId="68E0B01C" w14:textId="1E14350B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F8614E">
              <w:rPr>
                <w:sz w:val="22"/>
              </w:rPr>
              <w:t>Шлак, доменный шлак (кроме гранулированного доменного шлака), труха, окалина и прочие отходы производства чугуна, железа или стали:</w:t>
            </w:r>
          </w:p>
        </w:tc>
      </w:tr>
      <w:tr w:rsidR="00D24EFA" w:rsidRPr="00750FC0" w14:paraId="345C49FD" w14:textId="77777777" w:rsidTr="00750FC0">
        <w:trPr>
          <w:trHeight w:val="20"/>
          <w:jc w:val="center"/>
        </w:trPr>
        <w:tc>
          <w:tcPr>
            <w:tcW w:w="929" w:type="pct"/>
          </w:tcPr>
          <w:p w14:paraId="5DDE0E35" w14:textId="0843B3F4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F8614E">
              <w:rPr>
                <w:sz w:val="22"/>
              </w:rPr>
              <w:t>2619 00 200</w:t>
            </w:r>
          </w:p>
        </w:tc>
        <w:tc>
          <w:tcPr>
            <w:tcW w:w="715" w:type="pct"/>
          </w:tcPr>
          <w:p w14:paraId="285B39A9" w14:textId="77777777" w:rsidR="00D24EFA" w:rsidRPr="00F8614E" w:rsidRDefault="00D24EFA" w:rsidP="00D24EFA">
            <w:pPr>
              <w:spacing w:after="0"/>
              <w:jc w:val="both"/>
              <w:rPr>
                <w:sz w:val="22"/>
              </w:rPr>
            </w:pPr>
            <w:r w:rsidRPr="00F8614E">
              <w:rPr>
                <w:sz w:val="22"/>
              </w:rPr>
              <w:t>В1210</w:t>
            </w:r>
          </w:p>
          <w:p w14:paraId="2AD3EC8F" w14:textId="4EBFCDB4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F8614E">
              <w:rPr>
                <w:sz w:val="22"/>
              </w:rPr>
              <w:t>В1230</w:t>
            </w:r>
          </w:p>
        </w:tc>
        <w:tc>
          <w:tcPr>
            <w:tcW w:w="3357" w:type="pct"/>
          </w:tcPr>
          <w:p w14:paraId="1F26F39B" w14:textId="2F434CE8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F8614E">
              <w:rPr>
                <w:sz w:val="22"/>
              </w:rPr>
              <w:t>– отходы, пригодные для извлечения из них железа или марганца</w:t>
            </w:r>
          </w:p>
        </w:tc>
      </w:tr>
      <w:tr w:rsidR="00D24EFA" w:rsidRPr="00750FC0" w14:paraId="062B85EB" w14:textId="77777777" w:rsidTr="00750FC0">
        <w:trPr>
          <w:trHeight w:val="20"/>
          <w:jc w:val="center"/>
        </w:trPr>
        <w:tc>
          <w:tcPr>
            <w:tcW w:w="929" w:type="pct"/>
          </w:tcPr>
          <w:p w14:paraId="22465B39" w14:textId="43EA23F1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F8614E">
              <w:rPr>
                <w:sz w:val="22"/>
              </w:rPr>
              <w:t>2619 00 900</w:t>
            </w:r>
          </w:p>
        </w:tc>
        <w:tc>
          <w:tcPr>
            <w:tcW w:w="715" w:type="pct"/>
          </w:tcPr>
          <w:p w14:paraId="0871AF38" w14:textId="77777777" w:rsidR="00D24EFA" w:rsidRPr="00F8614E" w:rsidRDefault="00D24EFA" w:rsidP="00D24EFA">
            <w:pPr>
              <w:spacing w:after="0"/>
              <w:jc w:val="both"/>
              <w:rPr>
                <w:sz w:val="22"/>
              </w:rPr>
            </w:pPr>
            <w:r w:rsidRPr="00F8614E">
              <w:rPr>
                <w:sz w:val="22"/>
              </w:rPr>
              <w:t>В1210</w:t>
            </w:r>
          </w:p>
          <w:p w14:paraId="002665C3" w14:textId="0C5BA295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F8614E">
              <w:rPr>
                <w:sz w:val="22"/>
              </w:rPr>
              <w:t>В1230</w:t>
            </w:r>
          </w:p>
        </w:tc>
        <w:tc>
          <w:tcPr>
            <w:tcW w:w="3357" w:type="pct"/>
          </w:tcPr>
          <w:p w14:paraId="5C1AAB53" w14:textId="3278DA30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F8614E">
              <w:rPr>
                <w:sz w:val="22"/>
              </w:rPr>
              <w:t>– прочие</w:t>
            </w:r>
          </w:p>
        </w:tc>
      </w:tr>
      <w:tr w:rsidR="00D24EFA" w:rsidRPr="00750FC0" w14:paraId="6F69FE82" w14:textId="77777777" w:rsidTr="00750FC0">
        <w:trPr>
          <w:trHeight w:val="20"/>
          <w:jc w:val="center"/>
        </w:trPr>
        <w:tc>
          <w:tcPr>
            <w:tcW w:w="929" w:type="pct"/>
          </w:tcPr>
          <w:p w14:paraId="714A5161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2621 90 000</w:t>
            </w:r>
          </w:p>
        </w:tc>
        <w:tc>
          <w:tcPr>
            <w:tcW w:w="715" w:type="pct"/>
          </w:tcPr>
          <w:p w14:paraId="4B20E8E1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B1031</w:t>
            </w:r>
          </w:p>
          <w:p w14:paraId="4892D648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B1070</w:t>
            </w:r>
          </w:p>
          <w:p w14:paraId="44335A21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B1100</w:t>
            </w:r>
          </w:p>
          <w:p w14:paraId="011572E4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B1220</w:t>
            </w:r>
          </w:p>
          <w:p w14:paraId="2EE55292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B1240</w:t>
            </w:r>
          </w:p>
          <w:p w14:paraId="2E9D784B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B2040</w:t>
            </w:r>
          </w:p>
          <w:p w14:paraId="6A1C9EA3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B3100</w:t>
            </w:r>
          </w:p>
          <w:p w14:paraId="66FEBD0D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GG030</w:t>
            </w:r>
          </w:p>
          <w:p w14:paraId="55A7782F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  <w:lang w:val="en-US"/>
              </w:rPr>
            </w:pPr>
            <w:r w:rsidRPr="00750FC0">
              <w:rPr>
                <w:bCs/>
                <w:color w:val="000000"/>
                <w:sz w:val="22"/>
                <w:lang w:val="en-US"/>
              </w:rPr>
              <w:t>GG040</w:t>
            </w:r>
          </w:p>
        </w:tc>
        <w:tc>
          <w:tcPr>
            <w:tcW w:w="3357" w:type="pct"/>
          </w:tcPr>
          <w:p w14:paraId="14BA8276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rPr>
                <w:bCs/>
                <w:color w:val="000000"/>
                <w:sz w:val="22"/>
              </w:rPr>
            </w:pPr>
            <w:r w:rsidRPr="00750FC0">
              <w:rPr>
                <w:bCs/>
                <w:color w:val="000000"/>
                <w:sz w:val="22"/>
              </w:rPr>
              <w:t>– прочие</w:t>
            </w:r>
          </w:p>
          <w:p w14:paraId="522BA51C" w14:textId="77777777" w:rsidR="00D24EFA" w:rsidRPr="00750FC0" w:rsidRDefault="00D24EFA" w:rsidP="00D24EFA">
            <w:pPr>
              <w:tabs>
                <w:tab w:val="left" w:pos="851"/>
              </w:tabs>
              <w:spacing w:after="0"/>
              <w:ind w:firstLine="851"/>
              <w:rPr>
                <w:bCs/>
                <w:color w:val="000000"/>
                <w:sz w:val="22"/>
              </w:rPr>
            </w:pPr>
          </w:p>
        </w:tc>
      </w:tr>
    </w:tbl>
    <w:p w14:paraId="0D7DB46D" w14:textId="77777777" w:rsidR="00F45315" w:rsidRDefault="00F45315"/>
    <w:sectPr w:rsidR="00F45315" w:rsidSect="00C028F1">
      <w:pgSz w:w="11906" w:h="16838"/>
      <w:pgMar w:top="568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15"/>
    <w:rsid w:val="0058181B"/>
    <w:rsid w:val="005C0197"/>
    <w:rsid w:val="006D1F82"/>
    <w:rsid w:val="00750FC0"/>
    <w:rsid w:val="00790AF9"/>
    <w:rsid w:val="00866EBD"/>
    <w:rsid w:val="009D68FA"/>
    <w:rsid w:val="00B32DE8"/>
    <w:rsid w:val="00C028F1"/>
    <w:rsid w:val="00D24EFA"/>
    <w:rsid w:val="00DC3938"/>
    <w:rsid w:val="00F4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7EB8"/>
  <w15:chartTrackingRefBased/>
  <w15:docId w15:val="{D6DD2A4C-1768-4A81-A881-E1E89559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315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Titlu1">
    <w:name w:val="heading 1"/>
    <w:basedOn w:val="Normal"/>
    <w:next w:val="Normal"/>
    <w:link w:val="Titlu1Caracter"/>
    <w:uiPriority w:val="9"/>
    <w:qFormat/>
    <w:rsid w:val="00F45315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45315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F45315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F45315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F45315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F45315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F45315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F45315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F45315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4531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453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F4531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F45315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F45315"/>
    <w:rPr>
      <w:rFonts w:eastAsiaTheme="majorEastAsia" w:cstheme="majorBidi"/>
      <w:color w:val="365F91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F45315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F45315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F4531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F45315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F45315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F453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F45315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F453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F45315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CitatCaracter">
    <w:name w:val="Citat Caracter"/>
    <w:basedOn w:val="Fontdeparagrafimplicit"/>
    <w:link w:val="Citat"/>
    <w:uiPriority w:val="29"/>
    <w:rsid w:val="00F45315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F45315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ccentuareintens">
    <w:name w:val="Intense Emphasis"/>
    <w:basedOn w:val="Fontdeparagrafimplicit"/>
    <w:uiPriority w:val="21"/>
    <w:qFormat/>
    <w:rsid w:val="00F45315"/>
    <w:rPr>
      <w:i/>
      <w:iCs/>
      <w:color w:val="365F9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F4531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45315"/>
    <w:rPr>
      <w:rFonts w:ascii="Times New Roman" w:hAnsi="Times New Roman"/>
      <w:i/>
      <w:iCs/>
      <w:color w:val="365F91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F45315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Ina Șarpe</cp:lastModifiedBy>
  <cp:revision>2</cp:revision>
  <dcterms:created xsi:type="dcterms:W3CDTF">2025-02-07T11:14:00Z</dcterms:created>
  <dcterms:modified xsi:type="dcterms:W3CDTF">2025-02-07T11:14:00Z</dcterms:modified>
</cp:coreProperties>
</file>