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ACE4E" w14:textId="77777777" w:rsidR="006E2001" w:rsidRPr="002553C7" w:rsidRDefault="006E2001" w:rsidP="006E2001">
      <w:pPr>
        <w:pStyle w:val="ac"/>
        <w:spacing w:before="0" w:beforeAutospacing="0" w:after="0" w:afterAutospacing="0"/>
        <w:ind w:firstLine="567"/>
        <w:jc w:val="right"/>
        <w:rPr>
          <w:color w:val="000000" w:themeColor="text1"/>
        </w:rPr>
      </w:pPr>
      <w:r w:rsidRPr="002553C7">
        <w:rPr>
          <w:color w:val="000000" w:themeColor="text1"/>
        </w:rPr>
        <w:t>Приложение 2</w:t>
      </w:r>
    </w:p>
    <w:p w14:paraId="73E981D1" w14:textId="77777777" w:rsidR="006E2001" w:rsidRPr="002553C7" w:rsidRDefault="006E2001" w:rsidP="006E2001">
      <w:pPr>
        <w:pStyle w:val="ac"/>
        <w:spacing w:before="0" w:beforeAutospacing="0" w:after="0" w:afterAutospacing="0"/>
        <w:ind w:firstLine="567"/>
        <w:jc w:val="center"/>
        <w:rPr>
          <w:rStyle w:val="ae"/>
          <w:rFonts w:eastAsiaTheme="majorEastAsia"/>
          <w:color w:val="000000" w:themeColor="text1"/>
        </w:rPr>
      </w:pPr>
      <w:r w:rsidRPr="002553C7">
        <w:rPr>
          <w:rStyle w:val="ae"/>
          <w:rFonts w:eastAsiaTheme="majorEastAsia"/>
          <w:color w:val="000000" w:themeColor="text1"/>
        </w:rPr>
        <w:t>Операции по переработке</w:t>
      </w:r>
    </w:p>
    <w:p w14:paraId="602615F3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R1 Использование преимущественно в качестве топлива или другого источника энергии. Это охватывает установки по сжиганию, предназначенные главным образом для обработки твердых муниципальных отходов, только в том случае, если их энергоэффективность равна или превышает 0,60 с использованием следующей формулы:</w:t>
      </w:r>
    </w:p>
    <w:p w14:paraId="30250231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Энергоэффективность = (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Eр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– (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Ef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+ 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Ei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>)) / (0,97 × (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Ew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+ 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Ef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>)), где:</w:t>
      </w:r>
    </w:p>
    <w:p w14:paraId="16D1CF65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proofErr w:type="spellStart"/>
      <w:r w:rsidRPr="002553C7">
        <w:rPr>
          <w:color w:val="000000" w:themeColor="text1"/>
          <w:sz w:val="24"/>
          <w:szCs w:val="24"/>
          <w:lang w:eastAsia="en-GB"/>
        </w:rPr>
        <w:t>Ep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– годовое производство энергии в виде тепла или электроэнергии. Рассчитывается путем умножения электроэнергии на 2,6 и тепловой энергии, произведенной для целей коммерческого использования, на 1,1 (ГДж/год);</w:t>
      </w:r>
    </w:p>
    <w:p w14:paraId="0A0E1502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proofErr w:type="spellStart"/>
      <w:r w:rsidRPr="002553C7">
        <w:rPr>
          <w:color w:val="000000" w:themeColor="text1"/>
          <w:sz w:val="24"/>
          <w:szCs w:val="24"/>
          <w:lang w:eastAsia="en-GB"/>
        </w:rPr>
        <w:t>Ef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– годовое потребление системой энергии, получаемой из топлива, затраченного на производство пара (ГДж/год);</w:t>
      </w:r>
    </w:p>
    <w:p w14:paraId="5948B3DC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proofErr w:type="spellStart"/>
      <w:r w:rsidRPr="002553C7">
        <w:rPr>
          <w:color w:val="000000" w:themeColor="text1"/>
          <w:sz w:val="24"/>
          <w:szCs w:val="24"/>
          <w:lang w:eastAsia="en-GB"/>
        </w:rPr>
        <w:t>Ew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– годовая энергия, содержащаяся в обработанных отходах, рассчитанная на основе низшей теплотворной способности отходов (ГДж/год);</w:t>
      </w:r>
    </w:p>
    <w:p w14:paraId="5528D95C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proofErr w:type="spellStart"/>
      <w:r w:rsidRPr="002553C7">
        <w:rPr>
          <w:color w:val="000000" w:themeColor="text1"/>
          <w:sz w:val="24"/>
          <w:szCs w:val="24"/>
          <w:lang w:eastAsia="en-GB"/>
        </w:rPr>
        <w:t>Ei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– годовая получаемая извне энергия, за исключением 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Ew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и </w:t>
      </w:r>
      <w:proofErr w:type="spellStart"/>
      <w:r w:rsidRPr="002553C7">
        <w:rPr>
          <w:color w:val="000000" w:themeColor="text1"/>
          <w:sz w:val="24"/>
          <w:szCs w:val="24"/>
          <w:lang w:eastAsia="en-GB"/>
        </w:rPr>
        <w:t>Ef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 xml:space="preserve"> (ГДж/год);</w:t>
      </w:r>
    </w:p>
    <w:p w14:paraId="1B27817B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0,97 – коэффициент, учитывающий потери энергии с остатками, образующимися в результате сжигания, и при излучении.</w:t>
      </w:r>
    </w:p>
    <w:p w14:paraId="559F041B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Формула применяется в соответствии со справочным документом по наилучшим имеющимся методам сжигания отходов.</w:t>
      </w:r>
    </w:p>
    <w:p w14:paraId="506D5108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Формула энергоэффективности умножается на климатический поправочный коэффициент (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FCC</w:t>
      </w:r>
      <w:r w:rsidRPr="002553C7">
        <w:rPr>
          <w:color w:val="000000" w:themeColor="text1"/>
          <w:sz w:val="24"/>
          <w:szCs w:val="24"/>
          <w:lang w:eastAsia="en-GB"/>
        </w:rPr>
        <w:t>), как указано ниже:</w:t>
      </w:r>
    </w:p>
    <w:p w14:paraId="0CCA75DA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1. 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FCC</w:t>
      </w:r>
      <w:r w:rsidRPr="002553C7">
        <w:rPr>
          <w:color w:val="000000" w:themeColor="text1"/>
          <w:sz w:val="24"/>
          <w:szCs w:val="24"/>
          <w:lang w:eastAsia="en-GB"/>
        </w:rPr>
        <w:t> для установок, которые функционируют и авторизованы в соответствии с применимым законодательством Европейского Союза до 1 сентября 2015 года:</w:t>
      </w:r>
    </w:p>
    <w:p w14:paraId="4E17ECC8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1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HDD &gt;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= 3350</w:t>
      </w:r>
      <w:r w:rsidRPr="002553C7">
        <w:rPr>
          <w:color w:val="000000" w:themeColor="text1"/>
          <w:sz w:val="24"/>
          <w:szCs w:val="24"/>
          <w:lang w:eastAsia="en-GB"/>
        </w:rPr>
        <w:t>;</w:t>
      </w:r>
    </w:p>
    <w:p w14:paraId="06E3A487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1,25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HDD 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&lt; =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2150;</w:t>
      </w:r>
    </w:p>
    <w:p w14:paraId="662B89C9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– (0,25/1200) × HDD + 1,698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2150 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&lt; HDD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&lt; 3350</w:t>
      </w:r>
      <w:r w:rsidRPr="002553C7">
        <w:rPr>
          <w:color w:val="000000" w:themeColor="text1"/>
          <w:sz w:val="24"/>
          <w:szCs w:val="24"/>
          <w:lang w:eastAsia="en-GB"/>
        </w:rPr>
        <w:t>.</w:t>
      </w:r>
    </w:p>
    <w:p w14:paraId="2F51CD72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2. 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FCC</w:t>
      </w:r>
      <w:r w:rsidRPr="002553C7">
        <w:rPr>
          <w:color w:val="000000" w:themeColor="text1"/>
          <w:sz w:val="24"/>
          <w:szCs w:val="24"/>
          <w:lang w:eastAsia="en-GB"/>
        </w:rPr>
        <w:t> для установок, авторизованных после 31 августа 2015 года, и для установок из пункта 1 после 31 декабря 2029 года:</w:t>
      </w:r>
    </w:p>
    <w:p w14:paraId="704357B1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1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HDD &gt;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= 3350</w:t>
      </w:r>
      <w:r w:rsidRPr="002553C7">
        <w:rPr>
          <w:color w:val="000000" w:themeColor="text1"/>
          <w:sz w:val="24"/>
          <w:szCs w:val="24"/>
          <w:lang w:eastAsia="en-GB"/>
        </w:rPr>
        <w:t>;</w:t>
      </w:r>
    </w:p>
    <w:p w14:paraId="628813DD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1,12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HDD 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&lt; =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2150</w:t>
      </w:r>
      <w:r w:rsidRPr="002553C7">
        <w:rPr>
          <w:color w:val="000000" w:themeColor="text1"/>
          <w:sz w:val="24"/>
          <w:szCs w:val="24"/>
          <w:lang w:eastAsia="en-GB"/>
        </w:rPr>
        <w:t>;</w:t>
      </w:r>
    </w:p>
    <w:p w14:paraId="196EFB26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i/>
          <w:iCs/>
          <w:color w:val="000000" w:themeColor="text1"/>
          <w:sz w:val="24"/>
          <w:szCs w:val="24"/>
          <w:lang w:eastAsia="en-GB"/>
        </w:rPr>
        <w:t>FCC = – (0,12/1200) × HDD + 1,335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2150 </w:t>
      </w:r>
      <w:proofErr w:type="gram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&lt; HDD</w:t>
      </w:r>
      <w:proofErr w:type="gram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&lt; 3350</w:t>
      </w:r>
      <w:r w:rsidRPr="002553C7">
        <w:rPr>
          <w:color w:val="000000" w:themeColor="text1"/>
          <w:sz w:val="24"/>
          <w:szCs w:val="24"/>
          <w:lang w:eastAsia="en-GB"/>
        </w:rPr>
        <w:t>.</w:t>
      </w:r>
    </w:p>
    <w:p w14:paraId="51A5AFEE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(Полученное значение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FCC</w:t>
      </w:r>
      <w:r w:rsidRPr="002553C7">
        <w:rPr>
          <w:color w:val="000000" w:themeColor="text1"/>
          <w:sz w:val="24"/>
          <w:szCs w:val="24"/>
          <w:lang w:eastAsia="en-GB"/>
        </w:rPr>
        <w:t> округляется до трех знаков после запятой.).</w:t>
      </w:r>
    </w:p>
    <w:p w14:paraId="5C5B101B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  <w:lang w:eastAsia="en-GB"/>
        </w:rPr>
        <w:t>Значение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HDD</w:t>
      </w:r>
      <w:r w:rsidRPr="002553C7">
        <w:rPr>
          <w:color w:val="000000" w:themeColor="text1"/>
          <w:sz w:val="24"/>
          <w:szCs w:val="24"/>
          <w:lang w:eastAsia="en-GB"/>
        </w:rPr>
        <w:t> (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Heating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Degree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Days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> – градус нагрева в день) следует считать равным среднему значению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HDD</w:t>
      </w:r>
      <w:r w:rsidRPr="002553C7">
        <w:rPr>
          <w:color w:val="000000" w:themeColor="text1"/>
          <w:sz w:val="24"/>
          <w:szCs w:val="24"/>
          <w:lang w:eastAsia="en-GB"/>
        </w:rPr>
        <w:t> для площадки, где расположена установка по сжиганию, рассчитанному за период в 20 последовательных лет, предшествующих году, для которого рассчитывается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FCC</w:t>
      </w:r>
      <w:r w:rsidRPr="002553C7">
        <w:rPr>
          <w:color w:val="000000" w:themeColor="text1"/>
          <w:sz w:val="24"/>
          <w:szCs w:val="24"/>
          <w:lang w:eastAsia="en-GB"/>
        </w:rPr>
        <w:t>. Для расчета значения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HDD</w:t>
      </w:r>
      <w:r w:rsidRPr="002553C7">
        <w:rPr>
          <w:color w:val="000000" w:themeColor="text1"/>
          <w:sz w:val="24"/>
          <w:szCs w:val="24"/>
          <w:lang w:eastAsia="en-GB"/>
        </w:rPr>
        <w:t> следует применять следующий метод, установленный Евростатом: значение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HDD</w:t>
      </w:r>
      <w:r w:rsidRPr="002553C7">
        <w:rPr>
          <w:color w:val="000000" w:themeColor="text1"/>
          <w:sz w:val="24"/>
          <w:szCs w:val="24"/>
          <w:lang w:eastAsia="en-GB"/>
        </w:rPr>
        <w:t> равно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 xml:space="preserve">(18 °C – 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>) × d</w:t>
      </w:r>
      <w:r w:rsidRPr="002553C7">
        <w:rPr>
          <w:color w:val="000000" w:themeColor="text1"/>
          <w:sz w:val="24"/>
          <w:szCs w:val="24"/>
          <w:lang w:eastAsia="en-GB"/>
        </w:rPr>
        <w:t>, если 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> меньше или равно 15 °C (порог нагрева), и равно 0, если 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</w:t>
      </w:r>
      <w:proofErr w:type="spellEnd"/>
      <w:r w:rsidRPr="002553C7">
        <w:rPr>
          <w:color w:val="000000" w:themeColor="text1"/>
          <w:sz w:val="24"/>
          <w:szCs w:val="24"/>
          <w:lang w:eastAsia="en-GB"/>
        </w:rPr>
        <w:t> больше 15 °C; 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> </w:t>
      </w:r>
      <w:r w:rsidRPr="002553C7">
        <w:rPr>
          <w:color w:val="000000" w:themeColor="text1"/>
          <w:sz w:val="24"/>
          <w:szCs w:val="24"/>
          <w:lang w:eastAsia="en-GB"/>
        </w:rPr>
        <w:t>представляет собой среднюю температуру наружного воздуха (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Tmin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> + </w:t>
      </w:r>
      <w:proofErr w:type="spellStart"/>
      <w:r w:rsidRPr="002553C7">
        <w:rPr>
          <w:i/>
          <w:iCs/>
          <w:color w:val="000000" w:themeColor="text1"/>
          <w:sz w:val="24"/>
          <w:szCs w:val="24"/>
          <w:lang w:eastAsia="en-GB"/>
        </w:rPr>
        <w:t>Tmax</w:t>
      </w:r>
      <w:proofErr w:type="spellEnd"/>
      <w:r w:rsidRPr="002553C7">
        <w:rPr>
          <w:i/>
          <w:iCs/>
          <w:color w:val="000000" w:themeColor="text1"/>
          <w:sz w:val="24"/>
          <w:szCs w:val="24"/>
          <w:lang w:eastAsia="en-GB"/>
        </w:rPr>
        <w:t>/2</w:t>
      </w:r>
      <w:r w:rsidRPr="002553C7">
        <w:rPr>
          <w:color w:val="000000" w:themeColor="text1"/>
          <w:sz w:val="24"/>
          <w:szCs w:val="24"/>
          <w:lang w:eastAsia="en-GB"/>
        </w:rPr>
        <w:t>) за период 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d</w:t>
      </w:r>
      <w:r w:rsidRPr="002553C7">
        <w:rPr>
          <w:color w:val="000000" w:themeColor="text1"/>
          <w:sz w:val="24"/>
          <w:szCs w:val="24"/>
          <w:lang w:eastAsia="en-GB"/>
        </w:rPr>
        <w:t> дней. Расчеты следует производить ежедневно (</w:t>
      </w:r>
      <w:r w:rsidRPr="002553C7">
        <w:rPr>
          <w:i/>
          <w:iCs/>
          <w:color w:val="000000" w:themeColor="text1"/>
          <w:sz w:val="24"/>
          <w:szCs w:val="24"/>
          <w:lang w:eastAsia="en-GB"/>
        </w:rPr>
        <w:t>d = 1</w:t>
      </w:r>
      <w:r w:rsidRPr="002553C7">
        <w:rPr>
          <w:color w:val="000000" w:themeColor="text1"/>
          <w:sz w:val="24"/>
          <w:szCs w:val="24"/>
          <w:lang w:eastAsia="en-GB"/>
        </w:rPr>
        <w:t>) и суммировать за год.</w:t>
      </w:r>
    </w:p>
    <w:p w14:paraId="2C85C310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R2 Рекуперация/регенерация растворителей.</w:t>
      </w:r>
    </w:p>
    <w:p w14:paraId="2298FBD4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R3 Рециркуляция/рекуперация органических веществ, не используемых в качестве растворителей (в том числе компостирование и другие процессы естественного разложения). Это включает в себя газообразование и пиролиз, использующие компоненты в качестве химических веществ.</w:t>
      </w:r>
    </w:p>
    <w:p w14:paraId="6201C4A3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R4 Рециркуляция/рекуперация металлов и их соединений.</w:t>
      </w:r>
    </w:p>
    <w:p w14:paraId="78E18C22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R5 Рециркуляция/рекуперация других неорганических материалов. Это включает в себя технологии по обработке почвы, в результате чего происходят восстановление почвы и рециркуляция неорганических строительных материалов.</w:t>
      </w:r>
    </w:p>
    <w:p w14:paraId="7FC9FC45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R6 Регенерация кислот и оснований.</w:t>
      </w:r>
    </w:p>
    <w:p w14:paraId="02DFD017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lastRenderedPageBreak/>
        <w:t>R7 Переработка компонентов, используемых для снижения загрязнения.</w:t>
      </w:r>
    </w:p>
    <w:p w14:paraId="5F3EC0EB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R8 Переработка компонентов катализаторов.</w:t>
      </w:r>
    </w:p>
    <w:p w14:paraId="057BEAEB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R9 Повторная перегонка нефти либо другая ее реутилизация.</w:t>
      </w:r>
    </w:p>
    <w:p w14:paraId="7DEFE0EE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R10 Обработка почвы, оказывающая положительное влияние на сельское хозяйство или экологию.</w:t>
      </w:r>
    </w:p>
    <w:p w14:paraId="76950710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R11 Использование отходов, полученных в результате проведения любой из операций под номерами R2–R10.</w:t>
      </w:r>
    </w:p>
    <w:p w14:paraId="4E3CF3B6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</w:rPr>
      </w:pPr>
      <w:r w:rsidRPr="002553C7">
        <w:rPr>
          <w:color w:val="000000" w:themeColor="text1"/>
          <w:sz w:val="24"/>
          <w:szCs w:val="24"/>
        </w:rPr>
        <w:t>R12 Обмен отходами для их использования при осуществлении любой из операций под номерами R2–R11. Если необходимая операция не подпадает ни под одну из указанных, то она включает предшествующие переработке операции, в том числе предварительную обработку, а именно: разборку, сортировку, дробление, прессование, гранулирование, сухое измельчение, кондиционирование, переупаковку, разделение и смешивание перед началом любой из операций под номерами R2–R11.</w:t>
      </w:r>
    </w:p>
    <w:p w14:paraId="135E738C" w14:textId="77777777" w:rsidR="006E2001" w:rsidRPr="002553C7" w:rsidRDefault="006E2001" w:rsidP="006E2001">
      <w:pPr>
        <w:shd w:val="clear" w:color="auto" w:fill="FFFFFF"/>
        <w:spacing w:after="0"/>
        <w:ind w:firstLine="567"/>
        <w:jc w:val="both"/>
        <w:rPr>
          <w:color w:val="000000" w:themeColor="text1"/>
          <w:sz w:val="24"/>
          <w:szCs w:val="24"/>
          <w:lang w:eastAsia="en-GB"/>
        </w:rPr>
      </w:pPr>
      <w:r w:rsidRPr="002553C7">
        <w:rPr>
          <w:color w:val="000000" w:themeColor="text1"/>
          <w:sz w:val="24"/>
          <w:szCs w:val="24"/>
        </w:rPr>
        <w:t>R13 Хранение отходов в ожидании любой из операций под номерами R2–R12 (за исключением временного складирования до начала сбора. Временное складирование означает предварительное хранение в соответствии с пунктом 5) статьи 2</w:t>
      </w:r>
    </w:p>
    <w:p w14:paraId="73D402F8" w14:textId="77777777" w:rsidR="006E2001" w:rsidRDefault="006E2001"/>
    <w:sectPr w:rsidR="003A4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01"/>
    <w:rsid w:val="0058181B"/>
    <w:rsid w:val="005C0197"/>
    <w:rsid w:val="006D1F82"/>
    <w:rsid w:val="006E2001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7253"/>
  <w15:chartTrackingRefBased/>
  <w15:docId w15:val="{45BA68F6-AC69-49A8-8399-C7C777DC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001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6E2001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001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001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001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001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001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001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001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001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00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20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200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2001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E2001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E200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E2001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E200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E2001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6E2001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E20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001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20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2001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6E2001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6E2001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6E2001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200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6E200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6E2001"/>
    <w:rPr>
      <w:b/>
      <w:bCs/>
      <w:smallCaps/>
      <w:color w:val="365F91" w:themeColor="accent1" w:themeShade="BF"/>
      <w:spacing w:val="5"/>
    </w:rPr>
  </w:style>
  <w:style w:type="paragraph" w:styleId="ac">
    <w:name w:val="Normal (Web)"/>
    <w:basedOn w:val="a"/>
    <w:link w:val="ad"/>
    <w:uiPriority w:val="99"/>
    <w:unhideWhenUsed/>
    <w:rsid w:val="006E2001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e">
    <w:name w:val="Strong"/>
    <w:basedOn w:val="a0"/>
    <w:uiPriority w:val="22"/>
    <w:qFormat/>
    <w:rsid w:val="006E2001"/>
    <w:rPr>
      <w:rFonts w:cs="Times New Roman"/>
      <w:b/>
      <w:bCs/>
    </w:rPr>
  </w:style>
  <w:style w:type="character" w:customStyle="1" w:styleId="ad">
    <w:name w:val="Обычный (Интернет) Знак"/>
    <w:link w:val="ac"/>
    <w:uiPriority w:val="99"/>
    <w:locked/>
    <w:rsid w:val="006E20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2024-06-20T08:05:00Z</dcterms:created>
  <dcterms:modified xsi:type="dcterms:W3CDTF">2024-06-20T08:06:00Z</dcterms:modified>
</cp:coreProperties>
</file>