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00" w:rsidRPr="001A5BAB" w:rsidRDefault="001A2C00" w:rsidP="001A2C0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5BAB">
        <w:rPr>
          <w:rFonts w:ascii="Times New Roman" w:hAnsi="Times New Roman"/>
          <w:sz w:val="24"/>
          <w:szCs w:val="24"/>
          <w:lang w:eastAsia="ru-RU"/>
        </w:rPr>
        <w:t>Anexa</w:t>
      </w:r>
      <w:proofErr w:type="spellEnd"/>
      <w:r w:rsidRPr="001A5B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5BAB">
        <w:rPr>
          <w:rFonts w:ascii="Times New Roman" w:hAnsi="Times New Roman"/>
          <w:sz w:val="24"/>
          <w:szCs w:val="24"/>
          <w:lang w:eastAsia="ru-RU"/>
        </w:rPr>
        <w:t>nr</w:t>
      </w:r>
      <w:proofErr w:type="spellEnd"/>
      <w:r w:rsidRPr="001A5BAB">
        <w:rPr>
          <w:rFonts w:ascii="Times New Roman" w:hAnsi="Times New Roman"/>
          <w:sz w:val="24"/>
          <w:szCs w:val="24"/>
          <w:lang w:eastAsia="ru-RU"/>
        </w:rPr>
        <w:t>. 1</w:t>
      </w:r>
    </w:p>
    <w:p w:rsidR="001A2C00" w:rsidRPr="001A5BAB" w:rsidRDefault="001A2C00" w:rsidP="001A2C0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130"/>
        <w:gridCol w:w="1127"/>
        <w:gridCol w:w="1418"/>
        <w:gridCol w:w="3095"/>
        <w:gridCol w:w="1850"/>
      </w:tblGrid>
      <w:tr w:rsidR="001A2C00" w:rsidRPr="001A5BAB" w:rsidTr="001A2ECE">
        <w:tc>
          <w:tcPr>
            <w:tcW w:w="8039" w:type="dxa"/>
            <w:gridSpan w:val="5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NACE</w:t>
            </w:r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50" w:type="dxa"/>
            <w:vMerge w:val="restart"/>
            <w:vAlign w:val="center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COD CPV</w:t>
            </w:r>
          </w:p>
        </w:tc>
      </w:tr>
      <w:tr w:rsidR="001A2C00" w:rsidRPr="001A5BAB" w:rsidTr="001A2ECE">
        <w:tc>
          <w:tcPr>
            <w:tcW w:w="3526" w:type="dxa"/>
            <w:gridSpan w:val="3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SECŢIUNEA F</w:t>
            </w:r>
          </w:p>
        </w:tc>
        <w:tc>
          <w:tcPr>
            <w:tcW w:w="4513" w:type="dxa"/>
            <w:gridSpan w:val="2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CONSTRUCŢII</w:t>
            </w:r>
          </w:p>
        </w:tc>
        <w:tc>
          <w:tcPr>
            <w:tcW w:w="1850" w:type="dxa"/>
            <w:vMerge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Diviziune</w:t>
            </w:r>
            <w:proofErr w:type="spellEnd"/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Grupă</w:t>
            </w:r>
            <w:proofErr w:type="spellEnd"/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Clasă</w:t>
            </w:r>
            <w:proofErr w:type="spellEnd"/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Descriere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Note</w:t>
            </w:r>
            <w:proofErr w:type="spellEnd"/>
          </w:p>
        </w:tc>
        <w:tc>
          <w:tcPr>
            <w:tcW w:w="1850" w:type="dxa"/>
            <w:vMerge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Construcții</w:t>
            </w:r>
            <w:proofErr w:type="spellEnd"/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ind w:left="-50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diviziune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include: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noi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restaurare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reparații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curente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45000000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45.1</w:t>
            </w: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Pregătirea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şantierelor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45100000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45.11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Demolări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clădiri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terasamente</w:t>
            </w:r>
            <w:proofErr w:type="spellEnd"/>
          </w:p>
        </w:tc>
        <w:tc>
          <w:tcPr>
            <w:tcW w:w="3095" w:type="dxa"/>
            <w:vAlign w:val="center"/>
          </w:tcPr>
          <w:p w:rsidR="001A2C00" w:rsidRPr="001A5BAB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structuri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degajarea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șantierelor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terasament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: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excavarea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umplerea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nivelarea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șantierelor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săpare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șanțuri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îndepărtarea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rocilor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prin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explozie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etc.;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pregătirea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șantierelor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exploatare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minieră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îndepărtarea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solului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dezvoltare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pregătire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terenurilor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șantierelor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miniere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2C00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cuprinde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asemenea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drenarea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șantierelor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construcții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drenarea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terenurilor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agricole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forestiere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45110000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45.12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foraj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sondaj</w:t>
            </w:r>
            <w:proofErr w:type="spellEnd"/>
          </w:p>
        </w:tc>
        <w:tc>
          <w:tcPr>
            <w:tcW w:w="3095" w:type="dxa"/>
            <w:vAlign w:val="center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sondaje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experimentale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foraje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recunoaștere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carotaje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precum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studii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geofizice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geologice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studii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similare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puțurilor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extracție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țițeiului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gazelor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naturale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11.20;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puțurilor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apa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45.25;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săparea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puțuri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45.25;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prospectarea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zăcămintelor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lastRenderedPageBreak/>
              <w:t xml:space="preserve">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țiței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gaze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naturale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precum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studiile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geofizice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geologice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seismice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74.20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45120000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complete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parțiale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;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geniu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civil</w:t>
            </w:r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45.21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generale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geniu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civil</w:t>
            </w:r>
          </w:p>
        </w:tc>
        <w:tc>
          <w:tcPr>
            <w:tcW w:w="3095" w:type="dxa"/>
            <w:vAlign w:val="center"/>
          </w:tcPr>
          <w:p w:rsidR="001A2C00" w:rsidRPr="001A5BAB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toate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tipurile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civile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poduri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inclusiv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destinate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susținerii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șoselelor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suspendate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viaducte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tuneluri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pasaje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subterane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conducte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linii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comunicații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linii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electrice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transport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distanțe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conducte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linii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comunicații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linii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electrice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rețele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urbane;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conexe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amenajare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urbană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asamblarea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prefabricate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șantiere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5BAB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servicii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referitoare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la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extracția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țițeiului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gazelor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naturale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11.20;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complet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prefabricate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materiale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decît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betonul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fabricate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unitatea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execută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diviziunile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20, 26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28;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decît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stadioane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piscine,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săli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sport,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terenuri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tenis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circuite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golf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sportive,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45.23;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45.3;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lastRenderedPageBreak/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finisare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45.4;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activități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arhitectură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inginerie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74.20; 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gestionarea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74.20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45210000, 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excepția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45213316 45220000 45231000 45232000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45.22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Ridicarea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șarpante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acope-rișuri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ridicarea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șarpante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montarea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acoperișurilor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impermeabilizare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45261000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45.23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autostrăzi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șosele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aerodromuri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complexe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sportive</w:t>
            </w:r>
          </w:p>
        </w:tc>
        <w:tc>
          <w:tcPr>
            <w:tcW w:w="3095" w:type="dxa"/>
            <w:vAlign w:val="center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autostrăzi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drumuri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șosele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căi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vehicule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pietoni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construcția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căi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ferate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piste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aterizare-decolare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decît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stadioane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piscine,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săli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sport,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terenuri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tenis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circuite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golf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sportive;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marcarea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vopsea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suprafețelor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rutiere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spațiilor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parcare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5BAB" w:rsidRDefault="001A2C00" w:rsidP="001A2ECE">
            <w:pPr>
              <w:widowControl w:val="0"/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terasamentele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preliminare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45.11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45212212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DA03</w:t>
            </w:r>
          </w:p>
          <w:p w:rsidR="001A2C00" w:rsidRPr="001A5BAB" w:rsidRDefault="001A2C00" w:rsidP="001A2ECE">
            <w:pPr>
              <w:tabs>
                <w:tab w:val="left" w:pos="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45230000,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excepția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45231000</w:t>
            </w:r>
          </w:p>
          <w:p w:rsidR="001A2C00" w:rsidRPr="001A5BAB" w:rsidRDefault="001A2C00" w:rsidP="001A2ECE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45232000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45234115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45.24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hidrotehnice</w:t>
            </w:r>
            <w:proofErr w:type="spellEnd"/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include: </w:t>
            </w:r>
          </w:p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căi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navigabile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porturi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fluviale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porturi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agrement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1A2C00">
              <w:rPr>
                <w:rFonts w:ascii="Times New Roman" w:hAnsi="Times New Roman"/>
                <w:i/>
                <w:iCs/>
                <w:sz w:val="24"/>
                <w:szCs w:val="24"/>
                <w:lang w:val="en-GB" w:eastAsia="ru-RU"/>
              </w:rPr>
              <w:t>(marinas),</w:t>
            </w: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ecluze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etc.;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baraje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diguri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dragare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subacvatice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45240000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45.25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implică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speciale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activitățile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specializate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implica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un aspect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comun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multe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tipuri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necesită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competențe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specializate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realizarea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fundații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inclusiv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piloților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forarea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puțuri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apă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săparea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lastRenderedPageBreak/>
              <w:t>puțuri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elementelor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structură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metalică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sînt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fabricate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unitatea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execută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îndoirea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structurilor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metalice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zidire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cărămidă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piatră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demontarea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schelelor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platformelor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proprii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închiriate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coșuri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fum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cuptoare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industriale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5BAB" w:rsidRDefault="001A2C00" w:rsidP="001A2ECE">
            <w:pPr>
              <w:widowControl w:val="0"/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închirierea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schele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fără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demontare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71.32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45250000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45262000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instalaţii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45300000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45.31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instalații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electrice</w:t>
            </w:r>
            <w:proofErr w:type="spellEnd"/>
          </w:p>
        </w:tc>
        <w:tc>
          <w:tcPr>
            <w:tcW w:w="3095" w:type="dxa"/>
            <w:vAlign w:val="center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include: 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următoarelor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cabluri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conexiuni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electrice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sisteme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telecomunicații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instalații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electrice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încălzire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antene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clădiri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rezidențiale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sisteme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alarmă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împotriva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incendiilor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sisteme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alarmă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antiefracție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ascensoare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scări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rulante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paratrăsnete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etc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45213316 45310000, </w:t>
            </w:r>
          </w:p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excepția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  45316000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45.32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izolare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izolații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termice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acustice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împotriva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vibrațiilor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:rsidR="001A2C00" w:rsidRPr="001A2C00" w:rsidRDefault="001A2C00" w:rsidP="001A2ECE">
            <w:pPr>
              <w:widowControl w:val="0"/>
              <w:tabs>
                <w:tab w:val="left" w:pos="254"/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cuprinde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impermeabili-zare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45.22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45320000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45.33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Instalaţii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lastRenderedPageBreak/>
              <w:t>următoarelor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instalații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echipamente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sanitare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echipamente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distribuția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gazelor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conducte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încălzire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ventilare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refrigerare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climatizare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instalații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stingere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incendiilor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sprinklere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. </w:t>
            </w:r>
          </w:p>
          <w:p w:rsidR="001A2C00" w:rsidRPr="001A2C00" w:rsidRDefault="001A2C00" w:rsidP="001A2ECE">
            <w:pPr>
              <w:widowControl w:val="0"/>
              <w:tabs>
                <w:tab w:val="left" w:pos="254"/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cuprinde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sistemelor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electrice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încălzire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45.31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45330000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45.34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instalaţii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sistemelor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iluminat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semnalizare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șosele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căi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ferate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aeroporturi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porturi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instalațiilor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neclasificate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parte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45234115</w:t>
            </w: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45316000</w:t>
            </w: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45340000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</w:t>
            </w: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finisare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45400000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45.41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Tencuire</w:t>
            </w:r>
            <w:proofErr w:type="spellEnd"/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include: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aplicarea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ipsosului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stucului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structuri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ornamente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interioare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exterioare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inclusiv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materialelor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fățuire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asociate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45410000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45.42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Tîmplărie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dulgherie</w:t>
            </w:r>
            <w:proofErr w:type="spellEnd"/>
          </w:p>
        </w:tc>
        <w:tc>
          <w:tcPr>
            <w:tcW w:w="3095" w:type="dxa"/>
            <w:vAlign w:val="center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ferestre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tocuri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rame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ferestre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bucătării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scări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magazine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similare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lemn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materiale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care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sînt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fabricate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unitatea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care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execută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lucrările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amenajări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interioare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precum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plafoane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lambriuri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lemn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compartimentări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mobile etc.</w:t>
            </w:r>
          </w:p>
          <w:p w:rsidR="001A2C00" w:rsidRPr="001A5BAB" w:rsidRDefault="001A2C00" w:rsidP="001A2ECE">
            <w:pPr>
              <w:widowControl w:val="0"/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acoperirea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parchet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lastRenderedPageBreak/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pardoseli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lemn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45.43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45420000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45.43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Îmbrăcarea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podelelor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şi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pereţilor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proiecte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următoarelor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elemente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dale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ceramică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beton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piatră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pentru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pereți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podele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parchete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pardoseli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lemn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mochete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linoleum,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inclusiv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cauciuc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plastic;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materiale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placare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podelelor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pereților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din terrazzo,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marmură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granit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ardezie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tapete</w:t>
            </w:r>
            <w:proofErr w:type="spellEnd"/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45430000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45.44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Vopsitorie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geamuri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vopsirea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interioara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exterioara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vopsirea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structurilor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civile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montarea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sticlei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oglinzilor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etc.</w:t>
            </w:r>
          </w:p>
          <w:p w:rsidR="001A2C00" w:rsidRPr="001A2C00" w:rsidRDefault="001A2C00" w:rsidP="001A2ECE">
            <w:pPr>
              <w:widowControl w:val="0"/>
              <w:tabs>
                <w:tab w:val="left" w:pos="298"/>
              </w:tabs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cuprinde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instalarea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ferestrelor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45.42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45440000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45.45</w:t>
            </w:r>
          </w:p>
        </w:tc>
        <w:tc>
          <w:tcPr>
            <w:tcW w:w="1418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lucrări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finisare</w:t>
            </w:r>
            <w:proofErr w:type="spellEnd"/>
          </w:p>
        </w:tc>
        <w:tc>
          <w:tcPr>
            <w:tcW w:w="3095" w:type="dxa"/>
          </w:tcPr>
          <w:p w:rsidR="001A2C00" w:rsidRPr="001A5BAB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include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5BAB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instalarea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piscinelor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curățirea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pereților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exteriori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ajutorul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aburilor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prin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sablare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metode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similare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;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proofErr w:type="gram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celelalte</w:t>
            </w:r>
            <w:proofErr w:type="spellEnd"/>
            <w:proofErr w:type="gram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lucruri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finalizare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finisare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a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neclasificate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parte.</w:t>
            </w:r>
          </w:p>
          <w:p w:rsidR="001A2C00" w:rsidRPr="001A5BAB" w:rsidRDefault="001A2C00" w:rsidP="001A2ECE">
            <w:pPr>
              <w:widowControl w:val="0"/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Această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clasă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nu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cuprinde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2C00" w:rsidRPr="001A2C00" w:rsidRDefault="001A2C00" w:rsidP="001A2ECE">
            <w:pPr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curățirea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pereților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interiori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clădirilor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altor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74.70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45212212</w:t>
            </w: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DA04</w:t>
            </w: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45450000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Închirierea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echipa-mente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operator</w:t>
            </w:r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ind w:firstLine="44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45500000</w:t>
            </w:r>
          </w:p>
        </w:tc>
      </w:tr>
      <w:tr w:rsidR="001A2C00" w:rsidRPr="001A5BAB" w:rsidTr="001A2ECE">
        <w:tc>
          <w:tcPr>
            <w:tcW w:w="1269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45.50</w:t>
            </w:r>
          </w:p>
        </w:tc>
        <w:tc>
          <w:tcPr>
            <w:tcW w:w="1418" w:type="dxa"/>
          </w:tcPr>
          <w:p w:rsidR="001A2C00" w:rsidRPr="001A2C00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Închirierea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echipa-mente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cu operator</w:t>
            </w:r>
          </w:p>
        </w:tc>
        <w:tc>
          <w:tcPr>
            <w:tcW w:w="3095" w:type="dxa"/>
          </w:tcPr>
          <w:p w:rsidR="001A2C00" w:rsidRPr="001A2C00" w:rsidRDefault="001A2C00" w:rsidP="001A2EC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Această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clasă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nu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cuprinde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:</w:t>
            </w:r>
          </w:p>
          <w:p w:rsidR="001A2C00" w:rsidRPr="001A2C00" w:rsidRDefault="001A2C00" w:rsidP="001A2EC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–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închirierea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mașini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și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echipamente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de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construcție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sau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demolare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fără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operator, a se </w:t>
            </w:r>
            <w:proofErr w:type="spellStart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>vedea</w:t>
            </w:r>
            <w:proofErr w:type="spellEnd"/>
            <w:r w:rsidRPr="001A2C00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71.32</w:t>
            </w:r>
          </w:p>
        </w:tc>
        <w:tc>
          <w:tcPr>
            <w:tcW w:w="1850" w:type="dxa"/>
          </w:tcPr>
          <w:p w:rsidR="001A2C00" w:rsidRPr="001A5BAB" w:rsidRDefault="001A2C00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BAB">
              <w:rPr>
                <w:rFonts w:ascii="Times New Roman" w:hAnsi="Times New Roman"/>
                <w:sz w:val="24"/>
                <w:szCs w:val="24"/>
                <w:lang w:eastAsia="ru-RU"/>
              </w:rPr>
              <w:t>45500000</w:t>
            </w:r>
          </w:p>
        </w:tc>
      </w:tr>
    </w:tbl>
    <w:p w:rsidR="001A2C00" w:rsidRPr="001A5BAB" w:rsidRDefault="001A2C00" w:rsidP="001A2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A2C00" w:rsidRPr="001A2C00" w:rsidRDefault="001A2C00" w:rsidP="001A2C00">
      <w:pPr>
        <w:tabs>
          <w:tab w:val="left" w:pos="939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 w:rsidRPr="001A2C00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1</w:t>
      </w:r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Regulamentul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(CEE)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nr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3037/90 al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Consiliului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Comunităţilor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Europene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din 9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octombrie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1990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privind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clasificarea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statistică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activităţilor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economice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Comunitatea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Europeană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(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Jurnalul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Oficial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Comunităţilor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Europene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L 293 din 24 </w:t>
      </w:r>
      <w:proofErr w:type="spellStart"/>
      <w:r w:rsidRPr="001A2C00">
        <w:rPr>
          <w:rFonts w:ascii="Times New Roman" w:hAnsi="Times New Roman"/>
          <w:bCs/>
          <w:sz w:val="24"/>
          <w:szCs w:val="24"/>
          <w:lang w:val="en-GB"/>
        </w:rPr>
        <w:t>octombrie</w:t>
      </w:r>
      <w:proofErr w:type="spellEnd"/>
      <w:r w:rsidRPr="001A2C00">
        <w:rPr>
          <w:rFonts w:ascii="Times New Roman" w:hAnsi="Times New Roman"/>
          <w:bCs/>
          <w:sz w:val="24"/>
          <w:szCs w:val="24"/>
          <w:lang w:val="en-GB"/>
        </w:rPr>
        <w:t xml:space="preserve"> 1990).</w:t>
      </w:r>
    </w:p>
    <w:p w:rsidR="001A2C00" w:rsidRPr="001A2C00" w:rsidRDefault="001A2C00">
      <w:pPr>
        <w:rPr>
          <w:lang w:val="en-GB"/>
        </w:rPr>
      </w:pPr>
      <w:bookmarkStart w:id="0" w:name="_GoBack"/>
      <w:bookmarkEnd w:id="0"/>
    </w:p>
    <w:sectPr w:rsidR="001A2C00" w:rsidRPr="001A2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67DA"/>
    <w:multiLevelType w:val="multilevel"/>
    <w:tmpl w:val="E1040058"/>
    <w:lvl w:ilvl="0">
      <w:start w:val="1"/>
      <w:numFmt w:val="bullet"/>
      <w:lvlText w:val="—"/>
      <w:lvlJc w:val="left"/>
      <w:rPr>
        <w:rFonts w:ascii="Book Antiqua" w:eastAsia="Times New Roman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00"/>
    <w:rsid w:val="001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00"/>
    <w:pPr>
      <w:spacing w:after="160" w:line="259" w:lineRule="auto"/>
    </w:pPr>
    <w:rPr>
      <w:rFonts w:eastAsia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00"/>
    <w:pPr>
      <w:spacing w:after="160" w:line="259" w:lineRule="auto"/>
    </w:pPr>
    <w:rPr>
      <w:rFonts w:eastAsia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Natalia NP. Perevoznic</cp:lastModifiedBy>
  <cp:revision>1</cp:revision>
  <dcterms:created xsi:type="dcterms:W3CDTF">2018-11-16T14:07:00Z</dcterms:created>
  <dcterms:modified xsi:type="dcterms:W3CDTF">2018-11-16T14:07:00Z</dcterms:modified>
</cp:coreProperties>
</file>