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FF712" w14:textId="335B3434" w:rsidR="00DD68C9" w:rsidRPr="008772AE" w:rsidRDefault="00DD68C9" w:rsidP="00DD68C9">
      <w:pPr>
        <w:spacing w:after="0" w:line="240" w:lineRule="auto"/>
        <w:ind w:firstLine="680"/>
        <w:jc w:val="right"/>
        <w:rPr>
          <w:rFonts w:ascii="Times New Roman" w:hAnsi="Times New Roman" w:cs="Times New Roman"/>
          <w:sz w:val="24"/>
          <w:szCs w:val="24"/>
          <w:lang w:val="ro-RO"/>
        </w:rPr>
      </w:pPr>
      <w:r w:rsidRPr="008772AE">
        <w:rPr>
          <w:rFonts w:ascii="Times New Roman" w:hAnsi="Times New Roman" w:cs="Times New Roman"/>
          <w:sz w:val="24"/>
          <w:szCs w:val="24"/>
          <w:lang w:val="ro-RO"/>
        </w:rPr>
        <w:t>Anexa nr. 24</w:t>
      </w:r>
    </w:p>
    <w:p w14:paraId="4411D102" w14:textId="77777777" w:rsidR="00DD68C9" w:rsidRDefault="00DD68C9" w:rsidP="00DD68C9">
      <w:pPr>
        <w:spacing w:after="0" w:line="240" w:lineRule="auto"/>
        <w:ind w:firstLine="680"/>
        <w:jc w:val="center"/>
        <w:rPr>
          <w:rFonts w:ascii="Times New Roman" w:hAnsi="Times New Roman" w:cs="Times New Roman"/>
          <w:b/>
          <w:sz w:val="24"/>
          <w:szCs w:val="24"/>
          <w:lang w:val="ro-RO"/>
        </w:rPr>
      </w:pPr>
    </w:p>
    <w:p w14:paraId="6A2F4AF3" w14:textId="77777777" w:rsidR="00DD68C9" w:rsidRDefault="00DD68C9" w:rsidP="00DD68C9">
      <w:pPr>
        <w:spacing w:after="0" w:line="240" w:lineRule="auto"/>
        <w:ind w:firstLine="680"/>
        <w:jc w:val="center"/>
        <w:rPr>
          <w:rFonts w:ascii="Times New Roman" w:hAnsi="Times New Roman" w:cs="Times New Roman"/>
          <w:b/>
          <w:sz w:val="24"/>
          <w:szCs w:val="24"/>
          <w:lang w:val="ro-RO"/>
        </w:rPr>
      </w:pPr>
    </w:p>
    <w:p w14:paraId="64E65623" w14:textId="7A8C0F2E" w:rsidR="00DD68C9" w:rsidRPr="008772AE" w:rsidRDefault="00DD68C9" w:rsidP="00DD68C9">
      <w:pPr>
        <w:spacing w:after="0" w:line="240" w:lineRule="auto"/>
        <w:ind w:firstLine="680"/>
        <w:jc w:val="center"/>
        <w:rPr>
          <w:rFonts w:ascii="Times New Roman" w:hAnsi="Times New Roman" w:cs="Times New Roman"/>
          <w:b/>
          <w:sz w:val="24"/>
          <w:szCs w:val="24"/>
          <w:lang w:val="ro-RO"/>
        </w:rPr>
      </w:pPr>
      <w:r w:rsidRPr="008772AE">
        <w:rPr>
          <w:rFonts w:ascii="Times New Roman" w:hAnsi="Times New Roman" w:cs="Times New Roman"/>
          <w:b/>
          <w:sz w:val="24"/>
          <w:szCs w:val="24"/>
          <w:lang w:val="ro-RO"/>
        </w:rPr>
        <w:t>Avizarea și aprobarea documentației</w:t>
      </w:r>
    </w:p>
    <w:p w14:paraId="73836C6E" w14:textId="77777777" w:rsidR="00DD68C9" w:rsidRPr="008772AE" w:rsidRDefault="00DD68C9" w:rsidP="00DD68C9">
      <w:pPr>
        <w:spacing w:after="0" w:line="240" w:lineRule="auto"/>
        <w:ind w:firstLine="680"/>
        <w:jc w:val="center"/>
        <w:rPr>
          <w:rFonts w:ascii="Times New Roman" w:hAnsi="Times New Roman" w:cs="Times New Roman"/>
          <w:b/>
          <w:sz w:val="24"/>
          <w:szCs w:val="24"/>
          <w:lang w:val="ro-RO"/>
        </w:rPr>
      </w:pPr>
      <w:r w:rsidRPr="008772AE">
        <w:rPr>
          <w:rFonts w:ascii="Times New Roman" w:hAnsi="Times New Roman" w:cs="Times New Roman"/>
          <w:b/>
          <w:sz w:val="24"/>
          <w:szCs w:val="24"/>
          <w:lang w:val="ro-RO"/>
        </w:rPr>
        <w:t>de amenajare a teritoriului și de urbanism</w:t>
      </w:r>
    </w:p>
    <w:p w14:paraId="13E3B17F" w14:textId="77777777" w:rsidR="00DD68C9" w:rsidRPr="008772AE" w:rsidRDefault="00DD68C9" w:rsidP="00DD68C9">
      <w:pPr>
        <w:spacing w:after="0" w:line="240" w:lineRule="auto"/>
        <w:ind w:firstLine="680"/>
        <w:jc w:val="both"/>
        <w:rPr>
          <w:rFonts w:ascii="Times New Roman" w:hAnsi="Times New Roman" w:cs="Times New Roman"/>
          <w:sz w:val="24"/>
          <w:szCs w:val="24"/>
          <w:lang w:val="ro-RO"/>
        </w:rPr>
      </w:pPr>
      <w:r w:rsidRPr="008772AE">
        <w:rPr>
          <w:rFonts w:ascii="Times New Roman" w:hAnsi="Times New Roman" w:cs="Times New Roman"/>
          <w:sz w:val="24"/>
          <w:szCs w:val="24"/>
          <w:lang w:val="ro-RO"/>
        </w:rPr>
        <w:t> </w:t>
      </w:r>
    </w:p>
    <w:tbl>
      <w:tblPr>
        <w:tblW w:w="9613" w:type="dxa"/>
        <w:jc w:val="center"/>
        <w:tblCellMar>
          <w:left w:w="0" w:type="dxa"/>
          <w:right w:w="0" w:type="dxa"/>
        </w:tblCellMar>
        <w:tblLook w:val="04A0" w:firstRow="1" w:lastRow="0" w:firstColumn="1" w:lastColumn="0" w:noHBand="0" w:noVBand="1"/>
      </w:tblPr>
      <w:tblGrid>
        <w:gridCol w:w="2827"/>
        <w:gridCol w:w="2694"/>
        <w:gridCol w:w="2126"/>
        <w:gridCol w:w="1966"/>
      </w:tblGrid>
      <w:tr w:rsidR="00DD68C9" w:rsidRPr="008772AE" w14:paraId="3AAF97D3" w14:textId="77777777" w:rsidTr="00DD68C9">
        <w:trPr>
          <w:trHeight w:val="20"/>
          <w:jc w:val="center"/>
        </w:trPr>
        <w:tc>
          <w:tcPr>
            <w:tcW w:w="2827"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211D2097" w14:textId="77777777" w:rsidR="00DD68C9" w:rsidRPr="008772AE" w:rsidRDefault="00DD68C9" w:rsidP="00081C60">
            <w:pPr>
              <w:spacing w:after="0" w:line="240" w:lineRule="auto"/>
              <w:ind w:left="57" w:right="57"/>
              <w:jc w:val="center"/>
              <w:rPr>
                <w:rFonts w:ascii="Times New Roman" w:hAnsi="Times New Roman" w:cs="Times New Roman"/>
                <w:b/>
                <w:bCs/>
                <w:sz w:val="20"/>
                <w:szCs w:val="20"/>
                <w:lang w:val="ro-RO"/>
              </w:rPr>
            </w:pPr>
            <w:r w:rsidRPr="008772AE">
              <w:rPr>
                <w:rFonts w:ascii="Times New Roman" w:hAnsi="Times New Roman" w:cs="Times New Roman"/>
                <w:b/>
                <w:bCs/>
                <w:sz w:val="20"/>
                <w:szCs w:val="20"/>
                <w:lang w:val="ro-RO"/>
              </w:rPr>
              <w:t>Categoria documentației</w:t>
            </w:r>
          </w:p>
        </w:tc>
        <w:tc>
          <w:tcPr>
            <w:tcW w:w="2694"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75781752" w14:textId="77777777" w:rsidR="00DD68C9" w:rsidRPr="008772AE" w:rsidRDefault="00DD68C9" w:rsidP="00081C60">
            <w:pPr>
              <w:spacing w:after="0" w:line="240" w:lineRule="auto"/>
              <w:ind w:left="57" w:right="57"/>
              <w:jc w:val="center"/>
              <w:rPr>
                <w:rFonts w:ascii="Times New Roman" w:hAnsi="Times New Roman" w:cs="Times New Roman"/>
                <w:b/>
                <w:bCs/>
                <w:sz w:val="20"/>
                <w:szCs w:val="20"/>
                <w:lang w:val="ro-RO"/>
              </w:rPr>
            </w:pPr>
            <w:r w:rsidRPr="008772AE">
              <w:rPr>
                <w:rFonts w:ascii="Times New Roman" w:hAnsi="Times New Roman" w:cs="Times New Roman"/>
                <w:b/>
                <w:bCs/>
                <w:sz w:val="20"/>
                <w:szCs w:val="20"/>
                <w:lang w:val="ro-RO"/>
              </w:rPr>
              <w:t>Avizează</w:t>
            </w:r>
          </w:p>
        </w:tc>
        <w:tc>
          <w:tcPr>
            <w:tcW w:w="212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1B239628" w14:textId="77777777" w:rsidR="00DD68C9" w:rsidRPr="008772AE" w:rsidRDefault="00DD68C9" w:rsidP="00081C60">
            <w:pPr>
              <w:spacing w:after="0" w:line="240" w:lineRule="auto"/>
              <w:ind w:left="57" w:right="57"/>
              <w:jc w:val="center"/>
              <w:rPr>
                <w:rFonts w:ascii="Times New Roman" w:hAnsi="Times New Roman" w:cs="Times New Roman"/>
                <w:b/>
                <w:bCs/>
                <w:sz w:val="20"/>
                <w:szCs w:val="20"/>
                <w:lang w:val="ro-RO"/>
              </w:rPr>
            </w:pPr>
            <w:r w:rsidRPr="008772AE">
              <w:rPr>
                <w:rFonts w:ascii="Times New Roman" w:hAnsi="Times New Roman" w:cs="Times New Roman"/>
                <w:b/>
                <w:bCs/>
                <w:sz w:val="20"/>
                <w:szCs w:val="20"/>
                <w:lang w:val="ro-RO"/>
              </w:rPr>
              <w:t>Emite avize generale</w:t>
            </w:r>
          </w:p>
        </w:tc>
        <w:tc>
          <w:tcPr>
            <w:tcW w:w="196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vAlign w:val="center"/>
            <w:hideMark/>
          </w:tcPr>
          <w:p w14:paraId="3F444FA1" w14:textId="77777777" w:rsidR="00DD68C9" w:rsidRPr="008772AE" w:rsidRDefault="00DD68C9" w:rsidP="00081C60">
            <w:pPr>
              <w:spacing w:after="0" w:line="240" w:lineRule="auto"/>
              <w:ind w:left="57" w:right="57"/>
              <w:jc w:val="center"/>
              <w:rPr>
                <w:rFonts w:ascii="Times New Roman" w:hAnsi="Times New Roman" w:cs="Times New Roman"/>
                <w:b/>
                <w:bCs/>
                <w:sz w:val="20"/>
                <w:szCs w:val="20"/>
                <w:lang w:val="ro-RO"/>
              </w:rPr>
            </w:pPr>
            <w:r w:rsidRPr="008772AE">
              <w:rPr>
                <w:rFonts w:ascii="Times New Roman" w:hAnsi="Times New Roman" w:cs="Times New Roman"/>
                <w:b/>
                <w:bCs/>
                <w:sz w:val="20"/>
                <w:szCs w:val="20"/>
                <w:lang w:val="ro-RO"/>
              </w:rPr>
              <w:t>Aprobă</w:t>
            </w:r>
          </w:p>
        </w:tc>
      </w:tr>
      <w:tr w:rsidR="00DD68C9" w:rsidRPr="008772AE" w14:paraId="7175F134" w14:textId="77777777" w:rsidTr="00081C60">
        <w:trPr>
          <w:trHeight w:val="20"/>
          <w:jc w:val="center"/>
        </w:trPr>
        <w:tc>
          <w:tcPr>
            <w:tcW w:w="9613" w:type="dxa"/>
            <w:gridSpan w:val="4"/>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D60464D" w14:textId="77777777" w:rsidR="00DD68C9" w:rsidRPr="008772AE" w:rsidRDefault="00DD68C9" w:rsidP="00DD68C9">
            <w:pPr>
              <w:spacing w:after="0" w:line="240" w:lineRule="auto"/>
              <w:ind w:left="57" w:right="57"/>
              <w:jc w:val="center"/>
              <w:rPr>
                <w:rFonts w:ascii="Times New Roman" w:hAnsi="Times New Roman" w:cs="Times New Roman"/>
                <w:sz w:val="20"/>
                <w:szCs w:val="20"/>
                <w:lang w:val="ro-RO"/>
              </w:rPr>
            </w:pPr>
            <w:r w:rsidRPr="008772AE">
              <w:rPr>
                <w:rFonts w:ascii="Times New Roman" w:hAnsi="Times New Roman" w:cs="Times New Roman"/>
                <w:b/>
                <w:bCs/>
                <w:sz w:val="20"/>
                <w:szCs w:val="20"/>
                <w:lang w:val="ro-RO"/>
              </w:rPr>
              <w:t>Planuri de amenajare a teritoriului</w:t>
            </w:r>
          </w:p>
        </w:tc>
      </w:tr>
      <w:tr w:rsidR="00DD68C9" w:rsidRPr="008772AE" w14:paraId="22CE373E" w14:textId="77777777" w:rsidTr="00DD68C9">
        <w:trPr>
          <w:trHeight w:val="20"/>
          <w:jc w:val="center"/>
        </w:trPr>
        <w:tc>
          <w:tcPr>
            <w:tcW w:w="2827"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4B35432"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 xml:space="preserve">Planul de amenajare a teritoriului național, secțiunile specializate ale acestuia </w:t>
            </w:r>
          </w:p>
        </w:tc>
        <w:tc>
          <w:tcPr>
            <w:tcW w:w="2694"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EB1E930"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Organismele centrale interesate</w:t>
            </w:r>
          </w:p>
        </w:tc>
        <w:tc>
          <w:tcPr>
            <w:tcW w:w="212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A4BCD47"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 xml:space="preserve">– </w:t>
            </w:r>
          </w:p>
          <w:p w14:paraId="190ED391"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p>
        </w:tc>
        <w:tc>
          <w:tcPr>
            <w:tcW w:w="196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8D7330C"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Parlamentul</w:t>
            </w:r>
          </w:p>
        </w:tc>
      </w:tr>
      <w:tr w:rsidR="00DD68C9" w:rsidRPr="008772AE" w14:paraId="5DC63C80" w14:textId="77777777" w:rsidTr="00DD68C9">
        <w:trPr>
          <w:trHeight w:val="20"/>
          <w:jc w:val="center"/>
        </w:trPr>
        <w:tc>
          <w:tcPr>
            <w:tcW w:w="2827"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C29FDDE"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Planurile de amenajare a teritoriului regiunilor</w:t>
            </w:r>
          </w:p>
          <w:p w14:paraId="51FD1E44"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de dezvoltare, al municipiului Chișinău, al unității</w:t>
            </w:r>
          </w:p>
          <w:p w14:paraId="767EF0C4"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teritoriale autonome Găgăuzia și al localităților</w:t>
            </w:r>
          </w:p>
          <w:p w14:paraId="7EE775C7"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din stânga Nistrului (Transnistria)</w:t>
            </w:r>
          </w:p>
        </w:tc>
        <w:tc>
          <w:tcPr>
            <w:tcW w:w="2694"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09E46C3"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Organismele centrale interesate</w:t>
            </w:r>
          </w:p>
        </w:tc>
        <w:tc>
          <w:tcPr>
            <w:tcW w:w="212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30D56DF"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w:t>
            </w:r>
          </w:p>
        </w:tc>
        <w:tc>
          <w:tcPr>
            <w:tcW w:w="196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1CA6D0C"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Guvernul</w:t>
            </w:r>
          </w:p>
        </w:tc>
      </w:tr>
      <w:tr w:rsidR="00DD68C9" w:rsidRPr="008772AE" w14:paraId="774AEEDA" w14:textId="77777777" w:rsidTr="00081C60">
        <w:trPr>
          <w:trHeight w:val="20"/>
          <w:jc w:val="center"/>
        </w:trPr>
        <w:tc>
          <w:tcPr>
            <w:tcW w:w="9613" w:type="dxa"/>
            <w:gridSpan w:val="4"/>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90BDDDC" w14:textId="77777777" w:rsidR="00DD68C9" w:rsidRPr="008772AE" w:rsidRDefault="00DD68C9" w:rsidP="00DD68C9">
            <w:pPr>
              <w:spacing w:after="0" w:line="240" w:lineRule="auto"/>
              <w:ind w:left="57" w:right="57"/>
              <w:jc w:val="center"/>
              <w:rPr>
                <w:rFonts w:ascii="Times New Roman" w:hAnsi="Times New Roman" w:cs="Times New Roman"/>
                <w:sz w:val="20"/>
                <w:szCs w:val="20"/>
                <w:lang w:val="ro-RO"/>
              </w:rPr>
            </w:pPr>
            <w:r w:rsidRPr="008772AE">
              <w:rPr>
                <w:rFonts w:ascii="Times New Roman" w:hAnsi="Times New Roman" w:cs="Times New Roman"/>
                <w:b/>
                <w:bCs/>
                <w:sz w:val="20"/>
                <w:szCs w:val="20"/>
                <w:lang w:val="ro-RO"/>
              </w:rPr>
              <w:t>Planuri urbanistice generale (PUG)</w:t>
            </w:r>
          </w:p>
        </w:tc>
      </w:tr>
      <w:tr w:rsidR="00DD68C9" w:rsidRPr="008772AE" w14:paraId="6EFFC86E" w14:textId="77777777" w:rsidTr="00DD68C9">
        <w:trPr>
          <w:trHeight w:val="20"/>
          <w:jc w:val="center"/>
        </w:trPr>
        <w:tc>
          <w:tcPr>
            <w:tcW w:w="2827"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0BA084D"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PUG al municipiului</w:t>
            </w:r>
          </w:p>
        </w:tc>
        <w:tc>
          <w:tcPr>
            <w:tcW w:w="2694"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BDD230D"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Organismele centrale interesate</w:t>
            </w:r>
          </w:p>
        </w:tc>
        <w:tc>
          <w:tcPr>
            <w:tcW w:w="212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D968296"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 xml:space="preserve">Instituția competentă din subordinea organului central de specialitate </w:t>
            </w:r>
          </w:p>
        </w:tc>
        <w:tc>
          <w:tcPr>
            <w:tcW w:w="196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21C9EAB"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Consiliul municipal</w:t>
            </w:r>
          </w:p>
        </w:tc>
      </w:tr>
      <w:tr w:rsidR="00DD68C9" w:rsidRPr="008772AE" w14:paraId="6A7CE332" w14:textId="77777777" w:rsidTr="00DD68C9">
        <w:trPr>
          <w:trHeight w:val="20"/>
          <w:jc w:val="center"/>
        </w:trPr>
        <w:tc>
          <w:tcPr>
            <w:tcW w:w="2827"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5B91AA5"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PUG al orașului</w:t>
            </w:r>
          </w:p>
        </w:tc>
        <w:tc>
          <w:tcPr>
            <w:tcW w:w="2694"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940215C"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Organismele centrale interesate</w:t>
            </w:r>
          </w:p>
        </w:tc>
        <w:tc>
          <w:tcPr>
            <w:tcW w:w="212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C4C6BBC"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 xml:space="preserve">Instituția competentă din subordinea organului central de specialitate </w:t>
            </w:r>
          </w:p>
        </w:tc>
        <w:tc>
          <w:tcPr>
            <w:tcW w:w="196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ACDF6AC"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Consiliul orășenesc</w:t>
            </w:r>
          </w:p>
        </w:tc>
      </w:tr>
      <w:tr w:rsidR="00DD68C9" w:rsidRPr="008772AE" w14:paraId="4CA7BFB6" w14:textId="77777777" w:rsidTr="00DD68C9">
        <w:trPr>
          <w:trHeight w:val="20"/>
          <w:jc w:val="center"/>
        </w:trPr>
        <w:tc>
          <w:tcPr>
            <w:tcW w:w="2827"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424F6A4"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PUG al satului (comunei)</w:t>
            </w:r>
          </w:p>
        </w:tc>
        <w:tc>
          <w:tcPr>
            <w:tcW w:w="2694"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916C6A0"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Organismele teritoriale interesate</w:t>
            </w:r>
          </w:p>
        </w:tc>
        <w:tc>
          <w:tcPr>
            <w:tcW w:w="212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9CEA1D1"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 xml:space="preserve">Instituția competentă din subordinea organului central de specialitate </w:t>
            </w:r>
          </w:p>
        </w:tc>
        <w:tc>
          <w:tcPr>
            <w:tcW w:w="196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722C9E2"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Consiliul sătesc (comunal)</w:t>
            </w:r>
          </w:p>
        </w:tc>
      </w:tr>
      <w:tr w:rsidR="00DD68C9" w:rsidRPr="008772AE" w14:paraId="7902210C" w14:textId="77777777" w:rsidTr="00081C60">
        <w:trPr>
          <w:trHeight w:val="20"/>
          <w:jc w:val="center"/>
        </w:trPr>
        <w:tc>
          <w:tcPr>
            <w:tcW w:w="9613" w:type="dxa"/>
            <w:gridSpan w:val="4"/>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A729670" w14:textId="77777777" w:rsidR="00DD68C9" w:rsidRPr="008772AE" w:rsidRDefault="00DD68C9" w:rsidP="00DD68C9">
            <w:pPr>
              <w:spacing w:after="0" w:line="240" w:lineRule="auto"/>
              <w:ind w:left="57" w:right="57"/>
              <w:jc w:val="center"/>
              <w:rPr>
                <w:rFonts w:ascii="Times New Roman" w:hAnsi="Times New Roman" w:cs="Times New Roman"/>
                <w:sz w:val="20"/>
                <w:szCs w:val="20"/>
                <w:lang w:val="ro-RO"/>
              </w:rPr>
            </w:pPr>
            <w:r w:rsidRPr="008772AE">
              <w:rPr>
                <w:rFonts w:ascii="Times New Roman" w:hAnsi="Times New Roman" w:cs="Times New Roman"/>
                <w:b/>
                <w:bCs/>
                <w:sz w:val="20"/>
                <w:szCs w:val="20"/>
                <w:lang w:val="ro-RO"/>
              </w:rPr>
              <w:t>Planuri urbanistice zonale (PUZ)</w:t>
            </w:r>
          </w:p>
        </w:tc>
      </w:tr>
      <w:tr w:rsidR="00DD68C9" w:rsidRPr="008772AE" w14:paraId="55115A88" w14:textId="77777777" w:rsidTr="00DD68C9">
        <w:trPr>
          <w:trHeight w:val="20"/>
          <w:jc w:val="center"/>
        </w:trPr>
        <w:tc>
          <w:tcPr>
            <w:tcW w:w="2827"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1BACBCF"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PUZ al zonei centrale a municipiului</w:t>
            </w:r>
          </w:p>
        </w:tc>
        <w:tc>
          <w:tcPr>
            <w:tcW w:w="2694"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629A72E"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Organismele centrale interesate</w:t>
            </w:r>
          </w:p>
        </w:tc>
        <w:tc>
          <w:tcPr>
            <w:tcW w:w="212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6FF6788"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 xml:space="preserve">Instituția competentă din subordinea organului central de specialitate </w:t>
            </w:r>
          </w:p>
        </w:tc>
        <w:tc>
          <w:tcPr>
            <w:tcW w:w="196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F337B62"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Consiliul municipal</w:t>
            </w:r>
          </w:p>
        </w:tc>
      </w:tr>
      <w:tr w:rsidR="00DD68C9" w:rsidRPr="008772AE" w14:paraId="7F4F1C0B" w14:textId="77777777" w:rsidTr="00DD68C9">
        <w:trPr>
          <w:trHeight w:val="20"/>
          <w:jc w:val="center"/>
        </w:trPr>
        <w:tc>
          <w:tcPr>
            <w:tcW w:w="2827"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5CAFDE2"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PUZ al zonei funcționale a localității</w:t>
            </w:r>
          </w:p>
        </w:tc>
        <w:tc>
          <w:tcPr>
            <w:tcW w:w="2694"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77A7EDA"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Organismele teritoriale interesate</w:t>
            </w:r>
          </w:p>
        </w:tc>
        <w:tc>
          <w:tcPr>
            <w:tcW w:w="212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1612A11"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 xml:space="preserve">Instituția competentă din subordinea organului central de specialitate </w:t>
            </w:r>
          </w:p>
        </w:tc>
        <w:tc>
          <w:tcPr>
            <w:tcW w:w="196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2797A2D9"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Consiliul municipal, orășenesc sau sătesc (comunal)</w:t>
            </w:r>
          </w:p>
        </w:tc>
      </w:tr>
      <w:tr w:rsidR="00DD68C9" w:rsidRPr="008772AE" w14:paraId="5F2105B0" w14:textId="77777777" w:rsidTr="00081C60">
        <w:trPr>
          <w:trHeight w:val="20"/>
          <w:jc w:val="center"/>
        </w:trPr>
        <w:tc>
          <w:tcPr>
            <w:tcW w:w="9613" w:type="dxa"/>
            <w:gridSpan w:val="4"/>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8F3E190" w14:textId="77777777" w:rsidR="00DD68C9" w:rsidRPr="008772AE" w:rsidRDefault="00DD68C9" w:rsidP="00DD68C9">
            <w:pPr>
              <w:spacing w:after="0" w:line="240" w:lineRule="auto"/>
              <w:ind w:left="57" w:right="57"/>
              <w:jc w:val="center"/>
              <w:rPr>
                <w:rFonts w:ascii="Times New Roman" w:hAnsi="Times New Roman" w:cs="Times New Roman"/>
                <w:sz w:val="20"/>
                <w:szCs w:val="20"/>
                <w:lang w:val="ro-RO"/>
              </w:rPr>
            </w:pPr>
            <w:r w:rsidRPr="008772AE">
              <w:rPr>
                <w:rFonts w:ascii="Times New Roman" w:hAnsi="Times New Roman" w:cs="Times New Roman"/>
                <w:b/>
                <w:bCs/>
                <w:sz w:val="20"/>
                <w:szCs w:val="20"/>
                <w:lang w:val="ro-RO"/>
              </w:rPr>
              <w:t>Planuri urbanistice de detaliu (PUD)</w:t>
            </w:r>
          </w:p>
        </w:tc>
      </w:tr>
      <w:tr w:rsidR="00DD68C9" w:rsidRPr="008772AE" w14:paraId="1E88DEE4" w14:textId="77777777" w:rsidTr="00DD68C9">
        <w:trPr>
          <w:trHeight w:val="20"/>
          <w:jc w:val="center"/>
        </w:trPr>
        <w:tc>
          <w:tcPr>
            <w:tcW w:w="2827"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0E40982"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PUD elaborat pe contul alocațiilor Guvernului sau autorităților administrației publice centrale de specialitate</w:t>
            </w:r>
          </w:p>
        </w:tc>
        <w:tc>
          <w:tcPr>
            <w:tcW w:w="2694"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74D682B"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Organismele centrale sau teritoriale interesate</w:t>
            </w:r>
          </w:p>
        </w:tc>
        <w:tc>
          <w:tcPr>
            <w:tcW w:w="212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FA1E5FB"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 xml:space="preserve">Instituția competentă din subordinea organului central de specialitate </w:t>
            </w:r>
          </w:p>
        </w:tc>
        <w:tc>
          <w:tcPr>
            <w:tcW w:w="196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100960A"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Consiliul municipal, orășenesc sau sătesc (comunal)</w:t>
            </w:r>
          </w:p>
        </w:tc>
      </w:tr>
      <w:tr w:rsidR="00DD68C9" w:rsidRPr="008772AE" w14:paraId="4D122BC3" w14:textId="77777777" w:rsidTr="00DD68C9">
        <w:trPr>
          <w:trHeight w:val="20"/>
          <w:jc w:val="center"/>
        </w:trPr>
        <w:tc>
          <w:tcPr>
            <w:tcW w:w="2827"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3DBA1D4"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PUD elaborat pe contul alocațiilor autorităților administrației publice locale sau al mijloacelor persoanelor juridice și fizice</w:t>
            </w:r>
          </w:p>
        </w:tc>
        <w:tc>
          <w:tcPr>
            <w:tcW w:w="2694"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BDC030E"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Organismele teritoriale interesate</w:t>
            </w:r>
          </w:p>
        </w:tc>
        <w:tc>
          <w:tcPr>
            <w:tcW w:w="212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626DFD09"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Serviciul specializat de arhitectură și urbanism al autorităților administrației publice locale</w:t>
            </w:r>
          </w:p>
        </w:tc>
        <w:tc>
          <w:tcPr>
            <w:tcW w:w="196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30913104"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Consiliul municipal, orășenesc sau sătesc (comunal)</w:t>
            </w:r>
          </w:p>
        </w:tc>
      </w:tr>
      <w:tr w:rsidR="00DD68C9" w:rsidRPr="008772AE" w14:paraId="3A3810B8" w14:textId="77777777" w:rsidTr="00081C60">
        <w:trPr>
          <w:trHeight w:val="20"/>
          <w:jc w:val="center"/>
        </w:trPr>
        <w:tc>
          <w:tcPr>
            <w:tcW w:w="9613" w:type="dxa"/>
            <w:gridSpan w:val="4"/>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4D25B25A" w14:textId="77777777" w:rsidR="00DD68C9" w:rsidRPr="008772AE" w:rsidRDefault="00DD68C9" w:rsidP="00DD68C9">
            <w:pPr>
              <w:spacing w:after="0" w:line="240" w:lineRule="auto"/>
              <w:ind w:left="57" w:right="57"/>
              <w:jc w:val="center"/>
              <w:rPr>
                <w:rFonts w:ascii="Times New Roman" w:hAnsi="Times New Roman" w:cs="Times New Roman"/>
                <w:sz w:val="20"/>
                <w:szCs w:val="20"/>
                <w:lang w:val="ro-RO"/>
              </w:rPr>
            </w:pPr>
            <w:r w:rsidRPr="008772AE">
              <w:rPr>
                <w:rFonts w:ascii="Times New Roman" w:hAnsi="Times New Roman" w:cs="Times New Roman"/>
                <w:b/>
                <w:bCs/>
                <w:sz w:val="20"/>
                <w:szCs w:val="20"/>
                <w:lang w:val="ro-RO"/>
              </w:rPr>
              <w:t>Regulamente de urbanism</w:t>
            </w:r>
          </w:p>
        </w:tc>
      </w:tr>
      <w:tr w:rsidR="00DD68C9" w:rsidRPr="008772AE" w14:paraId="1FFF9AA2" w14:textId="77777777" w:rsidTr="00DD68C9">
        <w:trPr>
          <w:trHeight w:val="20"/>
          <w:jc w:val="center"/>
        </w:trPr>
        <w:tc>
          <w:tcPr>
            <w:tcW w:w="2827"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13E63D83"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Regulamentul local de urbanism</w:t>
            </w:r>
          </w:p>
        </w:tc>
        <w:tc>
          <w:tcPr>
            <w:tcW w:w="2694"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02D275D4"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Organismele teritoriale interesate</w:t>
            </w:r>
          </w:p>
        </w:tc>
        <w:tc>
          <w:tcPr>
            <w:tcW w:w="212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5EFEF212"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Instituția competentă din subordinea organului central de specialitate în domeniul amenajării teritoriului și al urbanismului</w:t>
            </w:r>
          </w:p>
        </w:tc>
        <w:tc>
          <w:tcPr>
            <w:tcW w:w="1966" w:type="dxa"/>
            <w:tcBorders>
              <w:top w:val="single" w:sz="6" w:space="0" w:color="000000"/>
              <w:left w:val="single" w:sz="6" w:space="0" w:color="000000"/>
              <w:bottom w:val="single" w:sz="6" w:space="0" w:color="000000"/>
              <w:right w:val="single" w:sz="6" w:space="0" w:color="000000"/>
            </w:tcBorders>
            <w:tcMar>
              <w:top w:w="24" w:type="dxa"/>
              <w:left w:w="48" w:type="dxa"/>
              <w:bottom w:w="24" w:type="dxa"/>
              <w:right w:w="48" w:type="dxa"/>
            </w:tcMar>
            <w:hideMark/>
          </w:tcPr>
          <w:p w14:paraId="7599953F" w14:textId="77777777" w:rsidR="00DD68C9" w:rsidRPr="008772AE" w:rsidRDefault="00DD68C9" w:rsidP="00081C60">
            <w:pPr>
              <w:spacing w:after="0" w:line="240" w:lineRule="auto"/>
              <w:ind w:left="57" w:right="57"/>
              <w:rPr>
                <w:rFonts w:ascii="Times New Roman" w:hAnsi="Times New Roman" w:cs="Times New Roman"/>
                <w:sz w:val="20"/>
                <w:szCs w:val="20"/>
                <w:lang w:val="ro-RO"/>
              </w:rPr>
            </w:pPr>
            <w:r w:rsidRPr="008772AE">
              <w:rPr>
                <w:rFonts w:ascii="Times New Roman" w:hAnsi="Times New Roman" w:cs="Times New Roman"/>
                <w:sz w:val="20"/>
                <w:szCs w:val="20"/>
                <w:lang w:val="ro-RO"/>
              </w:rPr>
              <w:t>Consiliul municipal, orășenesc sau sătesc (comunal)</w:t>
            </w:r>
          </w:p>
        </w:tc>
      </w:tr>
    </w:tbl>
    <w:p w14:paraId="2BDBFF5C" w14:textId="77777777" w:rsidR="00DD68C9" w:rsidRPr="008772AE" w:rsidRDefault="00DD68C9" w:rsidP="00DD68C9">
      <w:pPr>
        <w:spacing w:after="0" w:line="240" w:lineRule="auto"/>
        <w:ind w:firstLine="680"/>
        <w:jc w:val="both"/>
        <w:rPr>
          <w:rFonts w:ascii="Times New Roman" w:hAnsi="Times New Roman" w:cs="Times New Roman"/>
          <w:b/>
          <w:bCs/>
          <w:lang w:val="ro-RO"/>
        </w:rPr>
      </w:pPr>
      <w:r w:rsidRPr="008772AE">
        <w:rPr>
          <w:rFonts w:ascii="Times New Roman" w:hAnsi="Times New Roman" w:cs="Times New Roman"/>
          <w:b/>
          <w:bCs/>
          <w:lang w:val="ro-RO"/>
        </w:rPr>
        <w:lastRenderedPageBreak/>
        <w:t xml:space="preserve">Note. </w:t>
      </w:r>
    </w:p>
    <w:p w14:paraId="31E04357" w14:textId="77777777" w:rsidR="00DD68C9" w:rsidRPr="008772AE" w:rsidRDefault="00DD68C9" w:rsidP="00DD68C9">
      <w:pPr>
        <w:spacing w:after="0" w:line="240" w:lineRule="auto"/>
        <w:ind w:firstLine="680"/>
        <w:jc w:val="both"/>
        <w:rPr>
          <w:rFonts w:ascii="Times New Roman" w:hAnsi="Times New Roman" w:cs="Times New Roman"/>
          <w:lang w:val="ro-RO"/>
        </w:rPr>
      </w:pPr>
      <w:r w:rsidRPr="008772AE">
        <w:rPr>
          <w:rFonts w:ascii="Times New Roman" w:hAnsi="Times New Roman" w:cs="Times New Roman"/>
          <w:lang w:val="ro-RO"/>
        </w:rPr>
        <w:t xml:space="preserve">1. Avizele prealabile ale operatorilor de sistem (furnizori, deținători de utilități, gestionari de rețele edilitare [inginerești]) necesare pentru elaborarea documentației de amenajare a teritoriului și de urbanism sunt eliberate gratuit solicitantului de către operatorii respectivi în cel mult 10 zile lucrătoare de la data solicitării. Termenul de eliberare poate fi prelungit cu 10 zile lucrătoare în cazul în care eliberarea avizului în cauză presupune studii suplimentare, implicarea mai multor structuri ale operatorului de sistem sau conlucrarea cu alte entități din domeniu. </w:t>
      </w:r>
    </w:p>
    <w:p w14:paraId="03842F0F" w14:textId="77777777" w:rsidR="00DD68C9" w:rsidRPr="008772AE" w:rsidRDefault="00DD68C9" w:rsidP="00DD68C9">
      <w:pPr>
        <w:spacing w:after="0" w:line="240" w:lineRule="auto"/>
        <w:ind w:firstLine="680"/>
        <w:jc w:val="both"/>
        <w:rPr>
          <w:rFonts w:ascii="Times New Roman" w:hAnsi="Times New Roman" w:cs="Times New Roman"/>
          <w:lang w:val="ro-RO"/>
        </w:rPr>
      </w:pPr>
      <w:r w:rsidRPr="008772AE">
        <w:rPr>
          <w:rFonts w:ascii="Times New Roman" w:hAnsi="Times New Roman" w:cs="Times New Roman"/>
          <w:lang w:val="ro-RO"/>
        </w:rPr>
        <w:t xml:space="preserve">2. Se interzice includerea în avizele prealabile a unor cerințe care interpretează prevederile normativelor tehnice în construcții sau a unor cerințe de calitate superioare cerințelor minime prevăzute de normativele tehnice în construcții aplicabile. Dacă în avizele respective  sunt prevăzute condiții de </w:t>
      </w:r>
      <w:proofErr w:type="spellStart"/>
      <w:r w:rsidRPr="008772AE">
        <w:rPr>
          <w:rFonts w:ascii="Times New Roman" w:hAnsi="Times New Roman" w:cs="Times New Roman"/>
          <w:lang w:val="ro-RO"/>
        </w:rPr>
        <w:t>recalcul</w:t>
      </w:r>
      <w:proofErr w:type="spellEnd"/>
      <w:r w:rsidRPr="008772AE">
        <w:rPr>
          <w:rFonts w:ascii="Times New Roman" w:hAnsi="Times New Roman" w:cs="Times New Roman"/>
          <w:lang w:val="ro-RO"/>
        </w:rPr>
        <w:t xml:space="preserve"> al capacității rețelelor existente, operatorul de sistem este obligat să elibereze gratuit și necondiționat, în anexa la avizul corespunzător, informația grafică și datele tehnice complete pentru efectuarea calculelor respective.</w:t>
      </w:r>
    </w:p>
    <w:p w14:paraId="010E0CBF" w14:textId="77777777" w:rsidR="00DD68C9" w:rsidRPr="008772AE" w:rsidRDefault="00DD68C9" w:rsidP="00DD68C9">
      <w:pPr>
        <w:spacing w:after="0" w:line="240" w:lineRule="auto"/>
        <w:ind w:firstLine="680"/>
        <w:jc w:val="both"/>
        <w:rPr>
          <w:rFonts w:ascii="Times New Roman" w:hAnsi="Times New Roman" w:cs="Times New Roman"/>
          <w:lang w:val="ro-RO"/>
        </w:rPr>
      </w:pPr>
      <w:r w:rsidRPr="008772AE">
        <w:rPr>
          <w:rFonts w:ascii="Times New Roman" w:hAnsi="Times New Roman" w:cs="Times New Roman"/>
          <w:lang w:val="ro-RO"/>
        </w:rPr>
        <w:t>3. Documentația elaborată în baza avizului prealabil al operatorilor de sistem nu se coordonează suplimentar cu emitenții avizelor, iar transpunerea și întrunirea cerințelor prevăzute de avizul respectiv în documentația de amenajare a teritoriului și de urbanism țin de responsabilitatea autorului de proiect și a verificatorului.</w:t>
      </w:r>
    </w:p>
    <w:p w14:paraId="21F5CC69" w14:textId="77777777" w:rsidR="00F12C76" w:rsidRPr="00DD68C9" w:rsidRDefault="00F12C76" w:rsidP="00DD68C9">
      <w:pPr>
        <w:rPr>
          <w:sz w:val="20"/>
          <w:szCs w:val="20"/>
          <w:lang w:val="ro-RO"/>
        </w:rPr>
      </w:pPr>
    </w:p>
    <w:sectPr w:rsidR="00F12C76" w:rsidRPr="00DD68C9" w:rsidSect="00DD68C9">
      <w:pgSz w:w="11906" w:h="16838" w:code="9"/>
      <w:pgMar w:top="851"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8C9"/>
    <w:rsid w:val="000B34EB"/>
    <w:rsid w:val="00331AEC"/>
    <w:rsid w:val="00412A79"/>
    <w:rsid w:val="00496983"/>
    <w:rsid w:val="006C0B77"/>
    <w:rsid w:val="008242FF"/>
    <w:rsid w:val="00870751"/>
    <w:rsid w:val="00922C48"/>
    <w:rsid w:val="00A21C33"/>
    <w:rsid w:val="00A21DB4"/>
    <w:rsid w:val="00B915B7"/>
    <w:rsid w:val="00D616C0"/>
    <w:rsid w:val="00DD68C9"/>
    <w:rsid w:val="00EA59DF"/>
    <w:rsid w:val="00EE4070"/>
    <w:rsid w:val="00F12C76"/>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1DDA2"/>
  <w15:chartTrackingRefBased/>
  <w15:docId w15:val="{27B59688-F687-4F5D-9388-03D87A4BB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14:ligatures w14:val="standardContextual"/>
      </w:rPr>
    </w:rPrDefault>
    <w:pPrDefault>
      <w:pPr>
        <w:ind w:firstLine="68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8C9"/>
    <w:pPr>
      <w:spacing w:after="160" w:line="259" w:lineRule="auto"/>
      <w:ind w:firstLine="0"/>
      <w:jc w:val="left"/>
    </w:pPr>
    <w:rPr>
      <w:lang w:val="ru-RU"/>
      <w14:ligatures w14:val="none"/>
    </w:rPr>
  </w:style>
  <w:style w:type="paragraph" w:styleId="Titlu1">
    <w:name w:val="heading 1"/>
    <w:basedOn w:val="Normal"/>
    <w:next w:val="Normal"/>
    <w:link w:val="Titlu1Caracter"/>
    <w:uiPriority w:val="9"/>
    <w:qFormat/>
    <w:rsid w:val="00DD68C9"/>
    <w:pPr>
      <w:keepNext/>
      <w:keepLines/>
      <w:spacing w:before="360" w:after="80" w:line="240" w:lineRule="auto"/>
      <w:ind w:firstLine="567"/>
      <w:jc w:val="both"/>
      <w:outlineLvl w:val="0"/>
    </w:pPr>
    <w:rPr>
      <w:rFonts w:asciiTheme="majorHAnsi" w:eastAsiaTheme="majorEastAsia" w:hAnsiTheme="majorHAnsi" w:cstheme="majorBidi"/>
      <w:color w:val="2E74B5" w:themeColor="accent1" w:themeShade="BF"/>
      <w:sz w:val="40"/>
      <w:szCs w:val="40"/>
      <w:lang w:val="ro-RO"/>
      <w14:ligatures w14:val="standardContextual"/>
    </w:rPr>
  </w:style>
  <w:style w:type="paragraph" w:styleId="Titlu2">
    <w:name w:val="heading 2"/>
    <w:basedOn w:val="Normal"/>
    <w:next w:val="Normal"/>
    <w:link w:val="Titlu2Caracter"/>
    <w:uiPriority w:val="9"/>
    <w:semiHidden/>
    <w:unhideWhenUsed/>
    <w:qFormat/>
    <w:rsid w:val="00DD68C9"/>
    <w:pPr>
      <w:keepNext/>
      <w:keepLines/>
      <w:spacing w:before="160" w:after="80" w:line="240" w:lineRule="auto"/>
      <w:ind w:firstLine="567"/>
      <w:jc w:val="both"/>
      <w:outlineLvl w:val="1"/>
    </w:pPr>
    <w:rPr>
      <w:rFonts w:asciiTheme="majorHAnsi" w:eastAsiaTheme="majorEastAsia" w:hAnsiTheme="majorHAnsi" w:cstheme="majorBidi"/>
      <w:color w:val="2E74B5" w:themeColor="accent1" w:themeShade="BF"/>
      <w:sz w:val="32"/>
      <w:szCs w:val="32"/>
      <w:lang w:val="ro-RO"/>
      <w14:ligatures w14:val="standardContextual"/>
    </w:rPr>
  </w:style>
  <w:style w:type="paragraph" w:styleId="Titlu3">
    <w:name w:val="heading 3"/>
    <w:basedOn w:val="Normal"/>
    <w:next w:val="Normal"/>
    <w:link w:val="Titlu3Caracter"/>
    <w:uiPriority w:val="9"/>
    <w:semiHidden/>
    <w:unhideWhenUsed/>
    <w:qFormat/>
    <w:rsid w:val="00DD68C9"/>
    <w:pPr>
      <w:keepNext/>
      <w:keepLines/>
      <w:spacing w:before="160" w:after="80" w:line="240" w:lineRule="auto"/>
      <w:ind w:firstLine="567"/>
      <w:jc w:val="both"/>
      <w:outlineLvl w:val="2"/>
    </w:pPr>
    <w:rPr>
      <w:rFonts w:eastAsiaTheme="majorEastAsia" w:cstheme="majorBidi"/>
      <w:color w:val="2E74B5" w:themeColor="accent1" w:themeShade="BF"/>
      <w:sz w:val="28"/>
      <w:szCs w:val="28"/>
      <w:lang w:val="ro-RO"/>
      <w14:ligatures w14:val="standardContextual"/>
    </w:rPr>
  </w:style>
  <w:style w:type="paragraph" w:styleId="Titlu4">
    <w:name w:val="heading 4"/>
    <w:basedOn w:val="Normal"/>
    <w:next w:val="Normal"/>
    <w:link w:val="Titlu4Caracter"/>
    <w:uiPriority w:val="9"/>
    <w:semiHidden/>
    <w:unhideWhenUsed/>
    <w:qFormat/>
    <w:rsid w:val="00DD68C9"/>
    <w:pPr>
      <w:keepNext/>
      <w:keepLines/>
      <w:spacing w:before="80" w:after="40" w:line="240" w:lineRule="auto"/>
      <w:ind w:firstLine="567"/>
      <w:jc w:val="both"/>
      <w:outlineLvl w:val="3"/>
    </w:pPr>
    <w:rPr>
      <w:rFonts w:eastAsiaTheme="majorEastAsia" w:cstheme="majorBidi"/>
      <w:i/>
      <w:iCs/>
      <w:color w:val="2E74B5" w:themeColor="accent1" w:themeShade="BF"/>
      <w:sz w:val="24"/>
      <w:lang w:val="ro-RO"/>
      <w14:ligatures w14:val="standardContextual"/>
    </w:rPr>
  </w:style>
  <w:style w:type="paragraph" w:styleId="Titlu5">
    <w:name w:val="heading 5"/>
    <w:basedOn w:val="Normal"/>
    <w:next w:val="Normal"/>
    <w:link w:val="Titlu5Caracter"/>
    <w:uiPriority w:val="9"/>
    <w:semiHidden/>
    <w:unhideWhenUsed/>
    <w:qFormat/>
    <w:rsid w:val="00DD68C9"/>
    <w:pPr>
      <w:keepNext/>
      <w:keepLines/>
      <w:spacing w:before="80" w:after="40" w:line="240" w:lineRule="auto"/>
      <w:ind w:firstLine="567"/>
      <w:jc w:val="both"/>
      <w:outlineLvl w:val="4"/>
    </w:pPr>
    <w:rPr>
      <w:rFonts w:eastAsiaTheme="majorEastAsia" w:cstheme="majorBidi"/>
      <w:color w:val="2E74B5" w:themeColor="accent1" w:themeShade="BF"/>
      <w:sz w:val="24"/>
      <w:lang w:val="ro-RO"/>
      <w14:ligatures w14:val="standardContextual"/>
    </w:rPr>
  </w:style>
  <w:style w:type="paragraph" w:styleId="Titlu6">
    <w:name w:val="heading 6"/>
    <w:basedOn w:val="Normal"/>
    <w:next w:val="Normal"/>
    <w:link w:val="Titlu6Caracter"/>
    <w:uiPriority w:val="9"/>
    <w:semiHidden/>
    <w:unhideWhenUsed/>
    <w:qFormat/>
    <w:rsid w:val="00DD68C9"/>
    <w:pPr>
      <w:keepNext/>
      <w:keepLines/>
      <w:spacing w:before="40" w:after="0" w:line="240" w:lineRule="auto"/>
      <w:ind w:firstLine="567"/>
      <w:jc w:val="both"/>
      <w:outlineLvl w:val="5"/>
    </w:pPr>
    <w:rPr>
      <w:rFonts w:eastAsiaTheme="majorEastAsia" w:cstheme="majorBidi"/>
      <w:i/>
      <w:iCs/>
      <w:color w:val="595959" w:themeColor="text1" w:themeTint="A6"/>
      <w:sz w:val="24"/>
      <w:lang w:val="ro-RO"/>
      <w14:ligatures w14:val="standardContextual"/>
    </w:rPr>
  </w:style>
  <w:style w:type="paragraph" w:styleId="Titlu7">
    <w:name w:val="heading 7"/>
    <w:basedOn w:val="Normal"/>
    <w:next w:val="Normal"/>
    <w:link w:val="Titlu7Caracter"/>
    <w:uiPriority w:val="9"/>
    <w:semiHidden/>
    <w:unhideWhenUsed/>
    <w:qFormat/>
    <w:rsid w:val="00DD68C9"/>
    <w:pPr>
      <w:keepNext/>
      <w:keepLines/>
      <w:spacing w:before="40" w:after="0" w:line="240" w:lineRule="auto"/>
      <w:ind w:firstLine="567"/>
      <w:jc w:val="both"/>
      <w:outlineLvl w:val="6"/>
    </w:pPr>
    <w:rPr>
      <w:rFonts w:eastAsiaTheme="majorEastAsia" w:cstheme="majorBidi"/>
      <w:color w:val="595959" w:themeColor="text1" w:themeTint="A6"/>
      <w:sz w:val="24"/>
      <w:lang w:val="ro-RO"/>
      <w14:ligatures w14:val="standardContextual"/>
    </w:rPr>
  </w:style>
  <w:style w:type="paragraph" w:styleId="Titlu8">
    <w:name w:val="heading 8"/>
    <w:basedOn w:val="Normal"/>
    <w:next w:val="Normal"/>
    <w:link w:val="Titlu8Caracter"/>
    <w:uiPriority w:val="9"/>
    <w:semiHidden/>
    <w:unhideWhenUsed/>
    <w:qFormat/>
    <w:rsid w:val="00DD68C9"/>
    <w:pPr>
      <w:keepNext/>
      <w:keepLines/>
      <w:spacing w:after="0" w:line="240" w:lineRule="auto"/>
      <w:ind w:firstLine="567"/>
      <w:jc w:val="both"/>
      <w:outlineLvl w:val="7"/>
    </w:pPr>
    <w:rPr>
      <w:rFonts w:eastAsiaTheme="majorEastAsia" w:cstheme="majorBidi"/>
      <w:i/>
      <w:iCs/>
      <w:color w:val="272727" w:themeColor="text1" w:themeTint="D8"/>
      <w:sz w:val="24"/>
      <w:lang w:val="ro-RO"/>
      <w14:ligatures w14:val="standardContextual"/>
    </w:rPr>
  </w:style>
  <w:style w:type="paragraph" w:styleId="Titlu9">
    <w:name w:val="heading 9"/>
    <w:basedOn w:val="Normal"/>
    <w:next w:val="Normal"/>
    <w:link w:val="Titlu9Caracter"/>
    <w:uiPriority w:val="9"/>
    <w:semiHidden/>
    <w:unhideWhenUsed/>
    <w:qFormat/>
    <w:rsid w:val="00DD68C9"/>
    <w:pPr>
      <w:keepNext/>
      <w:keepLines/>
      <w:spacing w:after="0" w:line="240" w:lineRule="auto"/>
      <w:ind w:firstLine="567"/>
      <w:jc w:val="both"/>
      <w:outlineLvl w:val="8"/>
    </w:pPr>
    <w:rPr>
      <w:rFonts w:eastAsiaTheme="majorEastAsia" w:cstheme="majorBidi"/>
      <w:color w:val="272727" w:themeColor="text1" w:themeTint="D8"/>
      <w:sz w:val="24"/>
      <w:lang w:val="ro-RO"/>
      <w14:ligatures w14:val="standardContextual"/>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DD68C9"/>
    <w:rPr>
      <w:rFonts w:asciiTheme="majorHAnsi" w:eastAsiaTheme="majorEastAsia" w:hAnsiTheme="majorHAnsi" w:cstheme="majorBidi"/>
      <w:color w:val="2E74B5" w:themeColor="accent1" w:themeShade="BF"/>
      <w:sz w:val="40"/>
      <w:szCs w:val="40"/>
    </w:rPr>
  </w:style>
  <w:style w:type="character" w:customStyle="1" w:styleId="Titlu2Caracter">
    <w:name w:val="Titlu 2 Caracter"/>
    <w:basedOn w:val="Fontdeparagrafimplicit"/>
    <w:link w:val="Titlu2"/>
    <w:uiPriority w:val="9"/>
    <w:semiHidden/>
    <w:rsid w:val="00DD68C9"/>
    <w:rPr>
      <w:rFonts w:asciiTheme="majorHAnsi" w:eastAsiaTheme="majorEastAsia" w:hAnsiTheme="majorHAnsi" w:cstheme="majorBidi"/>
      <w:color w:val="2E74B5" w:themeColor="accent1" w:themeShade="BF"/>
      <w:sz w:val="32"/>
      <w:szCs w:val="32"/>
    </w:rPr>
  </w:style>
  <w:style w:type="character" w:customStyle="1" w:styleId="Titlu3Caracter">
    <w:name w:val="Titlu 3 Caracter"/>
    <w:basedOn w:val="Fontdeparagrafimplicit"/>
    <w:link w:val="Titlu3"/>
    <w:uiPriority w:val="9"/>
    <w:semiHidden/>
    <w:rsid w:val="00DD68C9"/>
    <w:rPr>
      <w:rFonts w:eastAsiaTheme="majorEastAsia" w:cstheme="majorBidi"/>
      <w:color w:val="2E74B5" w:themeColor="accent1" w:themeShade="BF"/>
      <w:sz w:val="28"/>
      <w:szCs w:val="28"/>
    </w:rPr>
  </w:style>
  <w:style w:type="character" w:customStyle="1" w:styleId="Titlu4Caracter">
    <w:name w:val="Titlu 4 Caracter"/>
    <w:basedOn w:val="Fontdeparagrafimplicit"/>
    <w:link w:val="Titlu4"/>
    <w:uiPriority w:val="9"/>
    <w:semiHidden/>
    <w:rsid w:val="00DD68C9"/>
    <w:rPr>
      <w:rFonts w:eastAsiaTheme="majorEastAsia" w:cstheme="majorBidi"/>
      <w:i/>
      <w:iCs/>
      <w:color w:val="2E74B5" w:themeColor="accent1" w:themeShade="BF"/>
      <w:sz w:val="24"/>
    </w:rPr>
  </w:style>
  <w:style w:type="character" w:customStyle="1" w:styleId="Titlu5Caracter">
    <w:name w:val="Titlu 5 Caracter"/>
    <w:basedOn w:val="Fontdeparagrafimplicit"/>
    <w:link w:val="Titlu5"/>
    <w:uiPriority w:val="9"/>
    <w:semiHidden/>
    <w:rsid w:val="00DD68C9"/>
    <w:rPr>
      <w:rFonts w:eastAsiaTheme="majorEastAsia" w:cstheme="majorBidi"/>
      <w:color w:val="2E74B5" w:themeColor="accent1" w:themeShade="BF"/>
      <w:sz w:val="24"/>
    </w:rPr>
  </w:style>
  <w:style w:type="character" w:customStyle="1" w:styleId="Titlu6Caracter">
    <w:name w:val="Titlu 6 Caracter"/>
    <w:basedOn w:val="Fontdeparagrafimplicit"/>
    <w:link w:val="Titlu6"/>
    <w:uiPriority w:val="9"/>
    <w:semiHidden/>
    <w:rsid w:val="00DD68C9"/>
    <w:rPr>
      <w:rFonts w:eastAsiaTheme="majorEastAsia" w:cstheme="majorBidi"/>
      <w:i/>
      <w:iCs/>
      <w:color w:val="595959" w:themeColor="text1" w:themeTint="A6"/>
      <w:sz w:val="24"/>
    </w:rPr>
  </w:style>
  <w:style w:type="character" w:customStyle="1" w:styleId="Titlu7Caracter">
    <w:name w:val="Titlu 7 Caracter"/>
    <w:basedOn w:val="Fontdeparagrafimplicit"/>
    <w:link w:val="Titlu7"/>
    <w:uiPriority w:val="9"/>
    <w:semiHidden/>
    <w:rsid w:val="00DD68C9"/>
    <w:rPr>
      <w:rFonts w:eastAsiaTheme="majorEastAsia" w:cstheme="majorBidi"/>
      <w:color w:val="595959" w:themeColor="text1" w:themeTint="A6"/>
      <w:sz w:val="24"/>
    </w:rPr>
  </w:style>
  <w:style w:type="character" w:customStyle="1" w:styleId="Titlu8Caracter">
    <w:name w:val="Titlu 8 Caracter"/>
    <w:basedOn w:val="Fontdeparagrafimplicit"/>
    <w:link w:val="Titlu8"/>
    <w:uiPriority w:val="9"/>
    <w:semiHidden/>
    <w:rsid w:val="00DD68C9"/>
    <w:rPr>
      <w:rFonts w:eastAsiaTheme="majorEastAsia" w:cstheme="majorBidi"/>
      <w:i/>
      <w:iCs/>
      <w:color w:val="272727" w:themeColor="text1" w:themeTint="D8"/>
      <w:sz w:val="24"/>
    </w:rPr>
  </w:style>
  <w:style w:type="character" w:customStyle="1" w:styleId="Titlu9Caracter">
    <w:name w:val="Titlu 9 Caracter"/>
    <w:basedOn w:val="Fontdeparagrafimplicit"/>
    <w:link w:val="Titlu9"/>
    <w:uiPriority w:val="9"/>
    <w:semiHidden/>
    <w:rsid w:val="00DD68C9"/>
    <w:rPr>
      <w:rFonts w:eastAsiaTheme="majorEastAsia" w:cstheme="majorBidi"/>
      <w:color w:val="272727" w:themeColor="text1" w:themeTint="D8"/>
      <w:sz w:val="24"/>
    </w:rPr>
  </w:style>
  <w:style w:type="paragraph" w:styleId="Titlu">
    <w:name w:val="Title"/>
    <w:basedOn w:val="Normal"/>
    <w:next w:val="Normal"/>
    <w:link w:val="TitluCaracter"/>
    <w:uiPriority w:val="10"/>
    <w:qFormat/>
    <w:rsid w:val="00DD68C9"/>
    <w:pPr>
      <w:spacing w:after="80" w:line="240" w:lineRule="auto"/>
      <w:ind w:firstLine="567"/>
      <w:contextualSpacing/>
      <w:jc w:val="both"/>
    </w:pPr>
    <w:rPr>
      <w:rFonts w:asciiTheme="majorHAnsi" w:eastAsiaTheme="majorEastAsia" w:hAnsiTheme="majorHAnsi" w:cstheme="majorBidi"/>
      <w:spacing w:val="-10"/>
      <w:kern w:val="28"/>
      <w:sz w:val="56"/>
      <w:szCs w:val="56"/>
      <w:lang w:val="ro-RO"/>
      <w14:ligatures w14:val="standardContextual"/>
    </w:rPr>
  </w:style>
  <w:style w:type="character" w:customStyle="1" w:styleId="TitluCaracter">
    <w:name w:val="Titlu Caracter"/>
    <w:basedOn w:val="Fontdeparagrafimplicit"/>
    <w:link w:val="Titlu"/>
    <w:uiPriority w:val="10"/>
    <w:rsid w:val="00DD68C9"/>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DD68C9"/>
    <w:pPr>
      <w:numPr>
        <w:ilvl w:val="1"/>
      </w:numPr>
      <w:spacing w:line="240" w:lineRule="auto"/>
      <w:ind w:firstLine="567"/>
      <w:jc w:val="both"/>
    </w:pPr>
    <w:rPr>
      <w:rFonts w:eastAsiaTheme="majorEastAsia" w:cstheme="majorBidi"/>
      <w:color w:val="595959" w:themeColor="text1" w:themeTint="A6"/>
      <w:spacing w:val="15"/>
      <w:sz w:val="28"/>
      <w:szCs w:val="28"/>
      <w:lang w:val="ro-RO"/>
      <w14:ligatures w14:val="standardContextual"/>
    </w:rPr>
  </w:style>
  <w:style w:type="character" w:customStyle="1" w:styleId="SubtitluCaracter">
    <w:name w:val="Subtitlu Caracter"/>
    <w:basedOn w:val="Fontdeparagrafimplicit"/>
    <w:link w:val="Subtitlu"/>
    <w:uiPriority w:val="11"/>
    <w:rsid w:val="00DD68C9"/>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DD68C9"/>
    <w:pPr>
      <w:spacing w:before="160" w:line="240" w:lineRule="auto"/>
      <w:ind w:firstLine="567"/>
      <w:jc w:val="center"/>
    </w:pPr>
    <w:rPr>
      <w:rFonts w:ascii="Times New Roman" w:hAnsi="Times New Roman"/>
      <w:i/>
      <w:iCs/>
      <w:color w:val="404040" w:themeColor="text1" w:themeTint="BF"/>
      <w:sz w:val="24"/>
      <w:lang w:val="ro-RO"/>
      <w14:ligatures w14:val="standardContextual"/>
    </w:rPr>
  </w:style>
  <w:style w:type="character" w:customStyle="1" w:styleId="CitatCaracter">
    <w:name w:val="Citat Caracter"/>
    <w:basedOn w:val="Fontdeparagrafimplicit"/>
    <w:link w:val="Citat"/>
    <w:uiPriority w:val="29"/>
    <w:rsid w:val="00DD68C9"/>
    <w:rPr>
      <w:rFonts w:ascii="Times New Roman" w:hAnsi="Times New Roman"/>
      <w:i/>
      <w:iCs/>
      <w:color w:val="404040" w:themeColor="text1" w:themeTint="BF"/>
      <w:sz w:val="24"/>
    </w:rPr>
  </w:style>
  <w:style w:type="paragraph" w:styleId="Listparagraf">
    <w:name w:val="List Paragraph"/>
    <w:basedOn w:val="Normal"/>
    <w:uiPriority w:val="34"/>
    <w:qFormat/>
    <w:rsid w:val="00DD68C9"/>
    <w:pPr>
      <w:spacing w:after="0" w:line="240" w:lineRule="auto"/>
      <w:ind w:left="720" w:firstLine="567"/>
      <w:contextualSpacing/>
      <w:jc w:val="both"/>
    </w:pPr>
    <w:rPr>
      <w:rFonts w:ascii="Times New Roman" w:hAnsi="Times New Roman"/>
      <w:sz w:val="24"/>
      <w:lang w:val="ro-RO"/>
      <w14:ligatures w14:val="standardContextual"/>
    </w:rPr>
  </w:style>
  <w:style w:type="character" w:styleId="Accentuareintens">
    <w:name w:val="Intense Emphasis"/>
    <w:basedOn w:val="Fontdeparagrafimplicit"/>
    <w:uiPriority w:val="21"/>
    <w:qFormat/>
    <w:rsid w:val="00DD68C9"/>
    <w:rPr>
      <w:i/>
      <w:iCs/>
      <w:color w:val="2E74B5" w:themeColor="accent1" w:themeShade="BF"/>
    </w:rPr>
  </w:style>
  <w:style w:type="paragraph" w:styleId="Citatintens">
    <w:name w:val="Intense Quote"/>
    <w:basedOn w:val="Normal"/>
    <w:next w:val="Normal"/>
    <w:link w:val="CitatintensCaracter"/>
    <w:uiPriority w:val="30"/>
    <w:qFormat/>
    <w:rsid w:val="00DD68C9"/>
    <w:pPr>
      <w:pBdr>
        <w:top w:val="single" w:sz="4" w:space="10" w:color="2E74B5" w:themeColor="accent1" w:themeShade="BF"/>
        <w:bottom w:val="single" w:sz="4" w:space="10" w:color="2E74B5" w:themeColor="accent1" w:themeShade="BF"/>
      </w:pBdr>
      <w:spacing w:before="360" w:after="360" w:line="240" w:lineRule="auto"/>
      <w:ind w:left="864" w:right="864" w:firstLine="567"/>
      <w:jc w:val="center"/>
    </w:pPr>
    <w:rPr>
      <w:rFonts w:ascii="Times New Roman" w:hAnsi="Times New Roman"/>
      <w:i/>
      <w:iCs/>
      <w:color w:val="2E74B5" w:themeColor="accent1" w:themeShade="BF"/>
      <w:sz w:val="24"/>
      <w:lang w:val="ro-RO"/>
      <w14:ligatures w14:val="standardContextual"/>
    </w:rPr>
  </w:style>
  <w:style w:type="character" w:customStyle="1" w:styleId="CitatintensCaracter">
    <w:name w:val="Citat intens Caracter"/>
    <w:basedOn w:val="Fontdeparagrafimplicit"/>
    <w:link w:val="Citatintens"/>
    <w:uiPriority w:val="30"/>
    <w:rsid w:val="00DD68C9"/>
    <w:rPr>
      <w:rFonts w:ascii="Times New Roman" w:hAnsi="Times New Roman"/>
      <w:i/>
      <w:iCs/>
      <w:color w:val="2E74B5" w:themeColor="accent1" w:themeShade="BF"/>
      <w:sz w:val="24"/>
    </w:rPr>
  </w:style>
  <w:style w:type="character" w:styleId="Referireintens">
    <w:name w:val="Intense Reference"/>
    <w:basedOn w:val="Fontdeparagrafimplicit"/>
    <w:uiPriority w:val="32"/>
    <w:qFormat/>
    <w:rsid w:val="00DD68C9"/>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560</Words>
  <Characters>3252</Characters>
  <Application>Microsoft Office Word</Application>
  <DocSecurity>0</DocSecurity>
  <Lines>27</Lines>
  <Paragraphs>7</Paragraphs>
  <ScaleCrop>false</ScaleCrop>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 Șarpe</dc:creator>
  <cp:keywords/>
  <dc:description/>
  <cp:lastModifiedBy>Ina Șarpe</cp:lastModifiedBy>
  <cp:revision>1</cp:revision>
  <dcterms:created xsi:type="dcterms:W3CDTF">2025-03-21T07:01:00Z</dcterms:created>
  <dcterms:modified xsi:type="dcterms:W3CDTF">2025-03-21T07:03:00Z</dcterms:modified>
</cp:coreProperties>
</file>