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НАЦИОНАЛЬНАЯ КОМИССИЯ ПО УПРАВЛЕНИЮ КРИЗИСАМИ</w:t>
        <w:br/>
        <w:br/>
      </w:r>
      <w:r>
        <w:rPr>
          <w:b/>
          <w:sz w:val="26"/>
        </w:rPr>
        <w:t>РЕШЕНИЕ № 10</w:t>
        <w:br/>
      </w:r>
      <w:r>
        <w:rPr>
          <w:b/>
        </w:rPr>
        <w:t>от 2 октября 2026 года</w:t>
        <w:br/>
      </w:r>
    </w:p>
    <w:p>
      <w:pPr>
        <w:spacing w:line="276" w:lineRule="auto" w:after="240"/>
        <w:jc w:val="both"/>
      </w:pPr>
      <w:r>
        <w:t xml:space="preserve">На основании положений части (4) статьи 29, статей 31, 32, 34 и 35 Закона № 248/2025 об управлении кризисными ситуациями (Monitorul Oficial al Republicii Moldova, 2025 г., № 437-440, ст. 600), with subsequent amendments, во исполнение Постановления Парламента Республики Молдова № 222/2026 об объявлении чрезвычайного положения в энергетическом и гидрологическом секторах; учитывая полномочия, установленные Положением об организации и функционировании Национальной комиссии по управлению кризисами, утвержденным Постановлением Правительства № 346/2026 (Monitorul Oficial al Republicii Moldova, 2026 г., № 301-304, ст. 369); принимая во внимание неизбежный риск нарушения водоснабжения населения, функционирования жизненно важных служб и защиты водных экосистем, а также необходимость обеспечения надлежащего экологического стока; в целях введения специальных мер временного характера, необходимых и соразмерных тяжести объявленного чрезвычайного положения; для исполнения и дополнения мер, предписанных Решением Национальной комиссии по управлению кризисами № 9 от 25 сентября 2026 года, Национальная комиссия по управлению кризисами </w:t>
      </w:r>
      <w:r>
        <w:rPr>
          <w:b/>
        </w:rPr>
        <w:t>ПОСТАНОВЛЯЕТ:</w:t>
      </w:r>
    </w:p>
    <w:p>
      <w:pPr>
        <w:spacing w:after="120" w:line="276" w:lineRule="auto"/>
        <w:jc w:val="both"/>
      </w:pPr>
      <w:r>
        <w:t>1. Агентству материальных резервов, подведомственному Министерству внутренних дел, выдать на период чрезвычайного положения в виде займа материальные ценности из государственных резервов Акционерному обществу „Apă-Canal Chișinău”, с освобождением от обязательства предоставления банковской или financial гарантии и внесения платы за заем, в соответствии с условиями статей 10 и 16 Закона № 104/2020 о государственных и мобилизационных резервах, согласно приложению.</w:t>
      </w:r>
    </w:p>
    <w:p>
      <w:pPr>
        <w:spacing w:after="120" w:line="276" w:lineRule="auto"/>
        <w:jc w:val="both"/>
      </w:pPr>
      <w:r>
        <w:t>2. Акционерному обществу „Apă-Canal Chișinău” возвратить материальные ценности, выданные в соответствии с пунктом 1, на условиях части (3) статьи 11 и части (3) статьи 17 Закона № 104/2020 о государственных и мобилизационных резервах.</w:t>
      </w:r>
    </w:p>
    <w:p>
      <w:pPr>
        <w:spacing w:after="120" w:line="276" w:lineRule="auto"/>
        <w:jc w:val="both"/>
      </w:pPr>
      <w:r>
        <w:t>3. Агентству материальных резервов совместно с Министерством окружающей среды и А.О. „Apă-Canal Chișinău” создать комиссию по приему-передаче и обеспечить передачу и приемку материальных ценностей, предусмотренных в приложении.</w:t>
      </w:r>
    </w:p>
    <w:p>
      <w:pPr>
        <w:spacing w:after="120" w:line="276" w:lineRule="auto"/>
        <w:jc w:val="both"/>
      </w:pPr>
      <w:r>
        <w:t>4. Контроль за исполнением настоящего решения возложить на Министерство внутренних дел и Министерство окружающей среды.</w:t>
      </w:r>
    </w:p>
    <w:p>
      <w:pPr>
        <w:spacing w:after="120" w:line="276" w:lineRule="auto"/>
        <w:jc w:val="both"/>
      </w:pPr>
      <w:r>
        <w:t>5. Настоящее решение является обязательным для всех заинтересованных органов публичной власти, учреждений и оператора водоснабжения и вступает в силу со дня его принятия.</w:t>
      </w:r>
    </w:p>
    <w:p>
      <w:pPr>
        <w:spacing w:before="480" w:after="480"/>
      </w:pPr>
      <w:r>
        <w:rPr>
          <w:b/>
        </w:rPr>
        <w:t>Премьер-министр,</w:t>
        <w:br/>
        <w:t>Председатель Комиссии</w:t>
        <w:tab/>
        <w:tab/>
        <w:tab/>
        <w:tab/>
        <w:tab/>
        <w:t>Василе ТОФАН</w:t>
      </w:r>
    </w:p>
    <w:p>
      <w:r>
        <w:br w:type="page"/>
      </w:r>
    </w:p>
    <w:p>
      <w:pPr>
        <w:jc w:val="right"/>
      </w:pPr>
      <w:r>
        <w:rPr>
          <w:i/>
        </w:rPr>
        <w:t>Приложение</w:t>
        <w:br/>
        <w:t>к Решению CNMC № 10</w:t>
        <w:br/>
        <w:t>от 02 октября 2026 года</w:t>
        <w:br/>
      </w:r>
    </w:p>
    <w:p>
      <w:pPr>
        <w:spacing w:after="240"/>
        <w:jc w:val="center"/>
      </w:pPr>
      <w:r>
        <w:rPr>
          <w:b/>
        </w:rPr>
        <w:t>СПИСОК</w:t>
        <w:br/>
      </w:r>
      <w:r>
        <w:rPr>
          <w:b/>
        </w:rPr>
        <w:t>материальных ценностей, выдаваемых в виде займа из государственных резервов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864"/>
            <w:shd w:fill="F2F2F2"/>
          </w:tcPr>
          <w:p>
            <w:pPr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type="dxa" w:w="4608"/>
            <w:shd w:fill="F2F2F2"/>
          </w:tcPr>
          <w:p>
            <w:pPr>
              <w:jc w:val="center"/>
            </w:pPr>
            <w:r>
              <w:rPr>
                <w:b/>
              </w:rPr>
              <w:t>Наименование материальной ценности</w:t>
            </w:r>
          </w:p>
        </w:tc>
        <w:tc>
          <w:tcPr>
            <w:tcW w:type="dxa" w:w="1008"/>
            <w:shd w:fill="F2F2F2"/>
          </w:tcPr>
          <w:p>
            <w:pPr>
              <w:jc w:val="center"/>
            </w:pPr>
            <w:r>
              <w:rPr>
                <w:b/>
              </w:rPr>
              <w:t>Ед. изм.</w:t>
            </w:r>
          </w:p>
        </w:tc>
        <w:tc>
          <w:tcPr>
            <w:tcW w:type="dxa" w:w="1152"/>
            <w:shd w:fill="F2F2F2"/>
          </w:tcPr>
          <w:p>
            <w:pPr>
              <w:jc w:val="center"/>
            </w:pPr>
            <w:r>
              <w:rPr>
                <w:b/>
              </w:rPr>
              <w:t>Количество</w:t>
            </w:r>
          </w:p>
        </w:tc>
        <w:tc>
          <w:tcPr>
            <w:tcW w:type="dxa" w:w="1728"/>
            <w:shd w:fill="F2F2F2"/>
          </w:tcPr>
          <w:p>
            <w:pPr>
              <w:jc w:val="center"/>
            </w:pPr>
            <w:r>
              <w:rPr>
                <w:b/>
              </w:rPr>
              <w:t>Сумма (леи)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t>1.</w:t>
            </w:r>
          </w:p>
        </w:tc>
        <w:tc>
          <w:tcPr>
            <w:tcW w:type="dxa" w:w="4608"/>
          </w:tcPr>
          <w:p>
            <w:r>
              <w:t>Мотопомпа 14Sh-13 A (1000 м³/ч)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t>шт.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3 881 421,75</w:t>
            </w:r>
          </w:p>
        </w:tc>
      </w:tr>
      <w:tr>
        <w:tc>
          <w:tcPr>
            <w:tcW w:type="dxa" w:w="864"/>
          </w:tcPr>
          <w:p>
            <w:r/>
          </w:p>
        </w:tc>
        <w:tc>
          <w:tcPr>
            <w:tcW w:type="dxa" w:w="4608"/>
          </w:tcPr>
          <w:p>
            <w:r>
              <w:rPr>
                <w:b/>
              </w:rPr>
              <w:t>Итоговая сумма: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3 881 421,75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