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653696" w14:textId="087C9F28" w:rsidR="005F6F16" w:rsidRDefault="006F3F0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Model de evaluare a garajelor individuale (</w:t>
      </w:r>
      <w:r w:rsidR="001D7AB0">
        <w:rPr>
          <w:b/>
          <w:color w:val="000000"/>
          <w:sz w:val="24"/>
          <w:szCs w:val="24"/>
        </w:rPr>
        <w:t>cu excepția celor amplasate pe terenuri aferente caselor de locuit, caselor de vacanță</w:t>
      </w:r>
      <w:r>
        <w:rPr>
          <w:b/>
          <w:color w:val="000000"/>
          <w:sz w:val="24"/>
          <w:szCs w:val="24"/>
        </w:rPr>
        <w:t>), a garajelor din cooperative de construcții ale garajelor (CCG) sau asociațiilor proprietarilor de garaje (APG), a garajelor și locurilor de parcare situate în blocuri locative, amplasate în toate localitățile Republicii Moldova, în scopul impozitării</w:t>
      </w:r>
    </w:p>
    <w:p w14:paraId="0FEC02BE" w14:textId="77777777" w:rsidR="005F6F16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  <w:sz w:val="24"/>
          <w:szCs w:val="24"/>
        </w:rPr>
      </w:pPr>
    </w:p>
    <w:p w14:paraId="6C31FC3A" w14:textId="77777777" w:rsidR="005F6F16" w:rsidRDefault="006F3F0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În calitate de Obiect al evaluării se consideră:</w:t>
      </w:r>
    </w:p>
    <w:p w14:paraId="54A628AB" w14:textId="6C87063B" w:rsidR="005F6F16" w:rsidRDefault="006F3F0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Teren destinat pentru construcția garajului sau teren aferent garajelor individuale (</w:t>
      </w:r>
      <w:r w:rsidR="001D7AB0">
        <w:rPr>
          <w:color w:val="000000"/>
          <w:sz w:val="24"/>
          <w:szCs w:val="24"/>
        </w:rPr>
        <w:t>cu excepția celor amplasate pe terenuri aferente caselor de locuit, caselor de vacanță</w:t>
      </w:r>
      <w:r>
        <w:rPr>
          <w:color w:val="000000"/>
          <w:sz w:val="24"/>
          <w:szCs w:val="24"/>
        </w:rPr>
        <w:t>), garajelor din CCG sau APG, amplasat în toate localitățile Republicii Moldova;</w:t>
      </w:r>
    </w:p>
    <w:p w14:paraId="0572FBAC" w14:textId="0DDAC246" w:rsidR="005F6F16" w:rsidRDefault="006F3F0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Construcție înregistrată în Registrul bunurilor imobile cu destinația „Garaj”, utilizată ca garaj individual (</w:t>
      </w:r>
      <w:r w:rsidR="001D7AB0">
        <w:rPr>
          <w:color w:val="000000"/>
          <w:sz w:val="24"/>
          <w:szCs w:val="24"/>
        </w:rPr>
        <w:t>cu excepția celor amplasate pe terenuri aferente caselor de locuit, caselor de vacanță</w:t>
      </w:r>
      <w:r>
        <w:rPr>
          <w:color w:val="000000"/>
          <w:sz w:val="24"/>
          <w:szCs w:val="24"/>
        </w:rPr>
        <w:t>), garaj din CCG sau APG, amplasată în toate localitățile Republicii Moldova;</w:t>
      </w:r>
    </w:p>
    <w:p w14:paraId="272D96E7" w14:textId="069556FB" w:rsidR="005F6F16" w:rsidRDefault="006F3F0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Încăpere izolată înregistrată în Registrul bunurilor imobile cu destinația „</w:t>
      </w:r>
      <w:proofErr w:type="spellStart"/>
      <w:r>
        <w:rPr>
          <w:color w:val="000000"/>
          <w:sz w:val="24"/>
          <w:szCs w:val="24"/>
        </w:rPr>
        <w:t>nelocativă</w:t>
      </w:r>
      <w:proofErr w:type="spellEnd"/>
      <w:r>
        <w:rPr>
          <w:color w:val="000000"/>
          <w:sz w:val="24"/>
          <w:szCs w:val="24"/>
        </w:rPr>
        <w:t>”, utilizată ca garaj sau loc de parcare, situată în cadrul garajelor individuale (</w:t>
      </w:r>
      <w:r w:rsidR="001D7AB0">
        <w:rPr>
          <w:color w:val="000000"/>
          <w:sz w:val="24"/>
          <w:szCs w:val="24"/>
        </w:rPr>
        <w:t>cu excepția celor amplasate pe terenuri aferente caselor de locuit, caselor de vacanță</w:t>
      </w:r>
      <w:r>
        <w:rPr>
          <w:color w:val="000000"/>
          <w:sz w:val="24"/>
          <w:szCs w:val="24"/>
        </w:rPr>
        <w:t>), garajelor din CCG sau APG, blocurilor locative, amplasată în toate localitățile Republicii Moldova.</w:t>
      </w:r>
    </w:p>
    <w:p w14:paraId="1B02F636" w14:textId="77777777" w:rsidR="005F6F16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color w:val="000000"/>
          <w:sz w:val="24"/>
          <w:szCs w:val="24"/>
        </w:rPr>
      </w:pPr>
    </w:p>
    <w:p w14:paraId="5BAC245F" w14:textId="07B8B5D7" w:rsidR="005F6F16" w:rsidRDefault="006F3F0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Valoarea estimată a terenului destinat pentru construcția garajului sau aferent garajelor individuale (</w:t>
      </w:r>
      <w:r w:rsidR="001D7AB0">
        <w:rPr>
          <w:color w:val="000000"/>
          <w:sz w:val="24"/>
          <w:szCs w:val="24"/>
        </w:rPr>
        <w:t>cu excepția celor amplasate pe terenuri aferente caselor de locuit, caselor de vacanță</w:t>
      </w:r>
      <w:r>
        <w:rPr>
          <w:color w:val="000000"/>
          <w:sz w:val="24"/>
          <w:szCs w:val="24"/>
        </w:rPr>
        <w:t>), garajelor din CCG sau APG, se va determina după următoarea formulă:</w:t>
      </w:r>
    </w:p>
    <w:p w14:paraId="75FC3789" w14:textId="77777777" w:rsidR="005F6F16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color w:val="000000"/>
          <w:sz w:val="24"/>
          <w:szCs w:val="24"/>
        </w:rPr>
      </w:pPr>
    </w:p>
    <w:tbl>
      <w:tblPr>
        <w:tblStyle w:val="ad"/>
        <w:tblW w:w="9529" w:type="dxa"/>
        <w:tblInd w:w="-142" w:type="dxa"/>
        <w:tblLayout w:type="fixed"/>
        <w:tblLook w:val="0000" w:firstRow="0" w:lastRow="0" w:firstColumn="0" w:lastColumn="0" w:noHBand="0" w:noVBand="0"/>
      </w:tblPr>
      <w:tblGrid>
        <w:gridCol w:w="8962"/>
        <w:gridCol w:w="567"/>
      </w:tblGrid>
      <w:tr w:rsidR="005F6F16" w14:paraId="09DB42CA" w14:textId="77777777" w:rsidTr="00E82819">
        <w:tc>
          <w:tcPr>
            <w:tcW w:w="8962" w:type="dxa"/>
            <w:vAlign w:val="center"/>
          </w:tcPr>
          <w:p w14:paraId="67EB799B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V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TG</w:t>
            </w:r>
            <w:r>
              <w:rPr>
                <w:b/>
                <w:color w:val="000000"/>
                <w:sz w:val="24"/>
                <w:szCs w:val="24"/>
              </w:rPr>
              <w:t xml:space="preserve"> = EXP (Int.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 xml:space="preserve"> TG</w:t>
            </w:r>
            <w:r>
              <w:rPr>
                <w:b/>
                <w:color w:val="000000"/>
                <w:sz w:val="24"/>
                <w:szCs w:val="24"/>
              </w:rPr>
              <w:t>+ KS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TG</w:t>
            </w:r>
            <w:r>
              <w:rPr>
                <w:b/>
                <w:color w:val="000000"/>
                <w:sz w:val="24"/>
                <w:szCs w:val="24"/>
              </w:rPr>
              <w:t xml:space="preserve"> *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Ln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(S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TG</w:t>
            </w:r>
            <w:r>
              <w:rPr>
                <w:b/>
                <w:color w:val="000000"/>
                <w:sz w:val="24"/>
                <w:szCs w:val="24"/>
              </w:rPr>
              <w:t xml:space="preserve">) )*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KAjC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*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KTGLoc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*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KTGZonă</w:t>
            </w:r>
            <w:proofErr w:type="spellEnd"/>
          </w:p>
        </w:tc>
        <w:tc>
          <w:tcPr>
            <w:tcW w:w="567" w:type="dxa"/>
            <w:vAlign w:val="center"/>
          </w:tcPr>
          <w:p w14:paraId="4FA50C72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</w:tr>
    </w:tbl>
    <w:p w14:paraId="3B9DFCE6" w14:textId="77777777" w:rsidR="005F6F16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</w:p>
    <w:p w14:paraId="36FBE244" w14:textId="77777777" w:rsidR="005F6F16" w:rsidRDefault="006F3F0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unde:</w:t>
      </w:r>
      <w:r>
        <w:rPr>
          <w:color w:val="000000"/>
          <w:sz w:val="24"/>
          <w:szCs w:val="24"/>
          <w:vertAlign w:val="subscript"/>
        </w:rPr>
        <w:tab/>
      </w:r>
      <w:r>
        <w:rPr>
          <w:color w:val="000000"/>
          <w:sz w:val="24"/>
          <w:szCs w:val="24"/>
        </w:rPr>
        <w:t xml:space="preserve"> </w:t>
      </w:r>
    </w:p>
    <w:tbl>
      <w:tblPr>
        <w:tblStyle w:val="ae"/>
        <w:tblW w:w="9571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384"/>
        <w:gridCol w:w="8187"/>
      </w:tblGrid>
      <w:tr w:rsidR="005F6F16" w14:paraId="3AAED3E7" w14:textId="77777777">
        <w:trPr>
          <w:trHeight w:val="315"/>
        </w:trPr>
        <w:tc>
          <w:tcPr>
            <w:tcW w:w="1384" w:type="dxa"/>
          </w:tcPr>
          <w:p w14:paraId="782414F4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V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TG</w:t>
            </w:r>
          </w:p>
        </w:tc>
        <w:tc>
          <w:tcPr>
            <w:tcW w:w="8187" w:type="dxa"/>
          </w:tcPr>
          <w:p w14:paraId="38B6A3E8" w14:textId="77777777" w:rsidR="00B514E8" w:rsidRPr="00A97193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" w:hanging="39"/>
              <w:jc w:val="both"/>
              <w:rPr>
                <w:color w:val="000000"/>
                <w:sz w:val="24"/>
                <w:szCs w:val="24"/>
                <w:lang w:val="pt-BR"/>
              </w:rPr>
            </w:pPr>
            <w:r>
              <w:rPr>
                <w:color w:val="000000"/>
                <w:sz w:val="24"/>
                <w:szCs w:val="24"/>
              </w:rPr>
              <w:t xml:space="preserve">– valoarea estimată a terenului, lei. </w:t>
            </w:r>
          </w:p>
          <w:p w14:paraId="1B44D512" w14:textId="4E683200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" w:hanging="39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Terenul se consideră parte din teritoriu având hotare închise a cărei </w:t>
            </w:r>
            <w:r w:rsidR="00DA4436">
              <w:rPr>
                <w:color w:val="000000"/>
                <w:sz w:val="24"/>
                <w:szCs w:val="24"/>
              </w:rPr>
              <w:t>suprafață</w:t>
            </w:r>
            <w:r>
              <w:rPr>
                <w:color w:val="000000"/>
                <w:sz w:val="24"/>
                <w:szCs w:val="24"/>
              </w:rPr>
              <w:t xml:space="preserve">, al cărei amplasament </w:t>
            </w:r>
            <w:r w:rsidR="00F6535D">
              <w:rPr>
                <w:color w:val="000000"/>
                <w:sz w:val="24"/>
                <w:szCs w:val="24"/>
              </w:rPr>
              <w:t>și</w:t>
            </w:r>
            <w:r>
              <w:rPr>
                <w:color w:val="000000"/>
                <w:sz w:val="24"/>
                <w:szCs w:val="24"/>
              </w:rPr>
              <w:t xml:space="preserve"> ale cărei caracteristici sânt reflectate în cadastrul bunurilor imobile, înscris în capitolul supliment al Registrului bunurilor imobile, cu modul de utilizare „Teren sub garaje”;</w:t>
            </w:r>
          </w:p>
        </w:tc>
      </w:tr>
      <w:tr w:rsidR="005F6F16" w14:paraId="76A4218D" w14:textId="77777777">
        <w:trPr>
          <w:trHeight w:val="315"/>
        </w:trPr>
        <w:tc>
          <w:tcPr>
            <w:tcW w:w="1384" w:type="dxa"/>
          </w:tcPr>
          <w:p w14:paraId="60041FE1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Int.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TG</w:t>
            </w:r>
          </w:p>
        </w:tc>
        <w:tc>
          <w:tcPr>
            <w:tcW w:w="8187" w:type="dxa"/>
          </w:tcPr>
          <w:p w14:paraId="1947E836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intercepta ecuației de regresie. Reprezintă componenta liberă (constantă) a modelului de evaluare în scopul impozitării;</w:t>
            </w:r>
          </w:p>
        </w:tc>
      </w:tr>
      <w:tr w:rsidR="005F6F16" w14:paraId="2F9FB213" w14:textId="77777777">
        <w:trPr>
          <w:trHeight w:val="315"/>
        </w:trPr>
        <w:tc>
          <w:tcPr>
            <w:tcW w:w="1384" w:type="dxa"/>
          </w:tcPr>
          <w:p w14:paraId="11A8186F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S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TG</w:t>
            </w:r>
          </w:p>
        </w:tc>
        <w:tc>
          <w:tcPr>
            <w:tcW w:w="8187" w:type="dxa"/>
          </w:tcPr>
          <w:p w14:paraId="78BE17B0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suprafața terenului, convertită în metri pătrați (precizia 1,0);</w:t>
            </w:r>
          </w:p>
        </w:tc>
      </w:tr>
      <w:tr w:rsidR="005F6F16" w14:paraId="4AA6EE8D" w14:textId="77777777">
        <w:trPr>
          <w:trHeight w:val="315"/>
        </w:trPr>
        <w:tc>
          <w:tcPr>
            <w:tcW w:w="1384" w:type="dxa"/>
          </w:tcPr>
          <w:p w14:paraId="1C7F558D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KS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TG</w:t>
            </w:r>
          </w:p>
        </w:tc>
        <w:tc>
          <w:tcPr>
            <w:tcW w:w="8187" w:type="dxa"/>
          </w:tcPr>
          <w:p w14:paraId="5C01C31C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“suprafața terenului”;</w:t>
            </w:r>
          </w:p>
        </w:tc>
      </w:tr>
      <w:tr w:rsidR="005F6F16" w14:paraId="682B41E2" w14:textId="77777777">
        <w:trPr>
          <w:trHeight w:val="315"/>
        </w:trPr>
        <w:tc>
          <w:tcPr>
            <w:tcW w:w="1384" w:type="dxa"/>
          </w:tcPr>
          <w:p w14:paraId="011A67DA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KAjC</w:t>
            </w:r>
            <w:proofErr w:type="spellEnd"/>
          </w:p>
        </w:tc>
        <w:tc>
          <w:tcPr>
            <w:tcW w:w="8187" w:type="dxa"/>
          </w:tcPr>
          <w:p w14:paraId="6D0EB464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ajustărilor comune (se va determina conform formulei 4 din pct. 5);</w:t>
            </w:r>
          </w:p>
        </w:tc>
      </w:tr>
      <w:tr w:rsidR="005F6F16" w14:paraId="43F7EE7D" w14:textId="77777777">
        <w:trPr>
          <w:trHeight w:val="315"/>
        </w:trPr>
        <w:tc>
          <w:tcPr>
            <w:tcW w:w="1384" w:type="dxa"/>
            <w:vAlign w:val="center"/>
          </w:tcPr>
          <w:p w14:paraId="5E8B7383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KTGLoc</w:t>
            </w:r>
            <w:proofErr w:type="spellEnd"/>
          </w:p>
        </w:tc>
        <w:tc>
          <w:tcPr>
            <w:tcW w:w="8187" w:type="dxa"/>
          </w:tcPr>
          <w:p w14:paraId="26DB3E76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„localitatea”. Factorul valoric dat se determină conform anexei 2 la prezentul ordin;</w:t>
            </w:r>
          </w:p>
        </w:tc>
      </w:tr>
      <w:tr w:rsidR="005F6F16" w14:paraId="068335F3" w14:textId="77777777">
        <w:trPr>
          <w:trHeight w:val="315"/>
        </w:trPr>
        <w:tc>
          <w:tcPr>
            <w:tcW w:w="1384" w:type="dxa"/>
            <w:vAlign w:val="center"/>
          </w:tcPr>
          <w:p w14:paraId="1984FF0A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KTGZonă</w:t>
            </w:r>
            <w:proofErr w:type="spellEnd"/>
          </w:p>
        </w:tc>
        <w:tc>
          <w:tcPr>
            <w:tcW w:w="8187" w:type="dxa"/>
          </w:tcPr>
          <w:p w14:paraId="1E38DD01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„zonă valorică”. Factorul valoric dat se determină conform anexei 2 la prezentul ordin;</w:t>
            </w:r>
          </w:p>
        </w:tc>
      </w:tr>
    </w:tbl>
    <w:p w14:paraId="72B962CC" w14:textId="1ED02E01" w:rsidR="005E0738" w:rsidRDefault="005E073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color w:val="000000"/>
          <w:sz w:val="24"/>
          <w:szCs w:val="24"/>
        </w:rPr>
      </w:pPr>
    </w:p>
    <w:p w14:paraId="3381A917" w14:textId="77777777" w:rsidR="005E0738" w:rsidRDefault="005E073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color w:val="000000"/>
          <w:sz w:val="24"/>
          <w:szCs w:val="24"/>
        </w:rPr>
      </w:pPr>
    </w:p>
    <w:p w14:paraId="4D101CCD" w14:textId="1F4832EE" w:rsidR="005F6F16" w:rsidRDefault="006F3F0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Valoarea estimată a construcției înregistrată în Registrul bunurilor imobile cu destinația „Garaj”, utilizată ca garaj individual (</w:t>
      </w:r>
      <w:r w:rsidR="001D7AB0">
        <w:rPr>
          <w:color w:val="000000"/>
          <w:sz w:val="24"/>
          <w:szCs w:val="24"/>
        </w:rPr>
        <w:t>cu excepția celor amplasate pe terenuri aferente caselor de locuit, caselor de vacanță</w:t>
      </w:r>
      <w:r>
        <w:rPr>
          <w:color w:val="000000"/>
          <w:sz w:val="24"/>
          <w:szCs w:val="24"/>
        </w:rPr>
        <w:t>), garaj din CCG sau APG, se va determina după următoarea formulă:</w:t>
      </w:r>
    </w:p>
    <w:tbl>
      <w:tblPr>
        <w:tblStyle w:val="af"/>
        <w:tblW w:w="9810" w:type="dxa"/>
        <w:tblInd w:w="-270" w:type="dxa"/>
        <w:tblLayout w:type="fixed"/>
        <w:tblLook w:val="0000" w:firstRow="0" w:lastRow="0" w:firstColumn="0" w:lastColumn="0" w:noHBand="0" w:noVBand="0"/>
      </w:tblPr>
      <w:tblGrid>
        <w:gridCol w:w="9000"/>
        <w:gridCol w:w="810"/>
      </w:tblGrid>
      <w:tr w:rsidR="005F6F16" w14:paraId="6254465E" w14:textId="77777777" w:rsidTr="00E82819">
        <w:trPr>
          <w:trHeight w:val="623"/>
        </w:trPr>
        <w:tc>
          <w:tcPr>
            <w:tcW w:w="9000" w:type="dxa"/>
            <w:vAlign w:val="center"/>
          </w:tcPr>
          <w:p w14:paraId="3CFEC852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VCG = EXP[(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SInt+K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S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*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Ln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(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S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ext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)) + (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AInt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.+ A*KA + A</w:t>
            </w:r>
            <w:r>
              <w:rPr>
                <w:b/>
                <w:color w:val="000000"/>
                <w:sz w:val="24"/>
                <w:szCs w:val="24"/>
                <w:vertAlign w:val="superscript"/>
              </w:rPr>
              <w:t>2</w:t>
            </w:r>
            <w:r>
              <w:rPr>
                <w:b/>
                <w:color w:val="000000"/>
                <w:sz w:val="24"/>
                <w:szCs w:val="24"/>
              </w:rPr>
              <w:t>*KA2 + A</w:t>
            </w:r>
            <w:r>
              <w:rPr>
                <w:b/>
                <w:color w:val="000000"/>
                <w:sz w:val="24"/>
                <w:szCs w:val="24"/>
                <w:vertAlign w:val="superscript"/>
              </w:rPr>
              <w:t>3</w:t>
            </w:r>
            <w:r>
              <w:rPr>
                <w:b/>
                <w:color w:val="000000"/>
                <w:sz w:val="24"/>
                <w:szCs w:val="24"/>
              </w:rPr>
              <w:t xml:space="preserve">*KA3) + KMP + KST + KAC + KSB + KMA + KAN] *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KAjC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* GDF *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KCGLoc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*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KCGZonă</w:t>
            </w:r>
            <w:proofErr w:type="spellEnd"/>
          </w:p>
        </w:tc>
        <w:tc>
          <w:tcPr>
            <w:tcW w:w="810" w:type="dxa"/>
            <w:vAlign w:val="center"/>
          </w:tcPr>
          <w:p w14:paraId="1557BF58" w14:textId="779F7678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</w:tr>
    </w:tbl>
    <w:p w14:paraId="1CC99C7E" w14:textId="77777777" w:rsidR="005F6F16" w:rsidRDefault="006F3F0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unde:</w:t>
      </w:r>
    </w:p>
    <w:tbl>
      <w:tblPr>
        <w:tblStyle w:val="af0"/>
        <w:tblpPr w:leftFromText="180" w:rightFromText="180" w:vertAnchor="text" w:tblpY="1"/>
        <w:tblW w:w="957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384"/>
        <w:gridCol w:w="8187"/>
      </w:tblGrid>
      <w:tr w:rsidR="005F6F16" w14:paraId="5432A1C9" w14:textId="77777777">
        <w:tc>
          <w:tcPr>
            <w:tcW w:w="1384" w:type="dxa"/>
          </w:tcPr>
          <w:p w14:paraId="7D855B9F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VCG</w:t>
            </w:r>
          </w:p>
        </w:tc>
        <w:tc>
          <w:tcPr>
            <w:tcW w:w="8187" w:type="dxa"/>
          </w:tcPr>
          <w:p w14:paraId="5CBDDED3" w14:textId="77777777" w:rsidR="00B514E8" w:rsidRPr="00A97193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pt-BR"/>
              </w:rPr>
            </w:pPr>
            <w:r>
              <w:rPr>
                <w:color w:val="000000"/>
                <w:sz w:val="24"/>
                <w:szCs w:val="24"/>
              </w:rPr>
              <w:t xml:space="preserve">– valoarea estimată a construcției, lei. </w:t>
            </w:r>
          </w:p>
          <w:p w14:paraId="0018D867" w14:textId="57D009D4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 consideră garaj, construcția înregistrată cu destinația „garaj” în Registrul bunurilor imobile, utilizată ca garaj individual (</w:t>
            </w:r>
            <w:r w:rsidR="001D7AB0">
              <w:rPr>
                <w:color w:val="000000"/>
                <w:sz w:val="24"/>
                <w:szCs w:val="24"/>
              </w:rPr>
              <w:t>cu excepția celor amplasate pe terenuri aferente caselor de locuit, caselor de vacanță</w:t>
            </w:r>
            <w:r>
              <w:rPr>
                <w:color w:val="000000"/>
                <w:sz w:val="24"/>
                <w:szCs w:val="24"/>
              </w:rPr>
              <w:t>), garaj din CCG sau APG, amplasată în toate localitățile Republicii Moldova;</w:t>
            </w:r>
          </w:p>
        </w:tc>
      </w:tr>
      <w:tr w:rsidR="005F6F16" w14:paraId="1C642531" w14:textId="77777777">
        <w:tc>
          <w:tcPr>
            <w:tcW w:w="1384" w:type="dxa"/>
          </w:tcPr>
          <w:p w14:paraId="357588F8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SInt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187" w:type="dxa"/>
          </w:tcPr>
          <w:p w14:paraId="79145740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intercepta ecuației de regresie pentru factorul valoric “suprafața totală exterioară”;</w:t>
            </w:r>
          </w:p>
        </w:tc>
      </w:tr>
      <w:tr w:rsidR="005F6F16" w14:paraId="45F237C2" w14:textId="77777777">
        <w:tc>
          <w:tcPr>
            <w:tcW w:w="1384" w:type="dxa"/>
          </w:tcPr>
          <w:p w14:paraId="48F394DA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S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ext</w:t>
            </w:r>
            <w:proofErr w:type="spellEnd"/>
          </w:p>
        </w:tc>
        <w:tc>
          <w:tcPr>
            <w:tcW w:w="8187" w:type="dxa"/>
          </w:tcPr>
          <w:p w14:paraId="48C72BA7" w14:textId="77777777" w:rsidR="00B514E8" w:rsidRPr="00A97193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line="276" w:lineRule="auto"/>
              <w:jc w:val="both"/>
              <w:rPr>
                <w:color w:val="000000"/>
                <w:sz w:val="24"/>
                <w:szCs w:val="24"/>
                <w:lang w:val="pt-BR"/>
              </w:rPr>
            </w:pPr>
            <w:r>
              <w:rPr>
                <w:color w:val="000000"/>
                <w:sz w:val="24"/>
                <w:szCs w:val="24"/>
              </w:rPr>
              <w:t xml:space="preserve">– suprafața totală exterioară a construcției, m.p. </w:t>
            </w:r>
          </w:p>
          <w:p w14:paraId="43A2570C" w14:textId="6B12BC1A" w:rsidR="005F6F16" w:rsidRDefault="00DA44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Suprafața</w:t>
            </w:r>
            <w:r w:rsidR="006F3F0B">
              <w:rPr>
                <w:color w:val="000000"/>
                <w:sz w:val="24"/>
                <w:szCs w:val="24"/>
              </w:rPr>
              <w:t xml:space="preserve"> totală exterioară constituie </w:t>
            </w:r>
            <w:r>
              <w:rPr>
                <w:color w:val="000000"/>
                <w:sz w:val="24"/>
                <w:szCs w:val="24"/>
              </w:rPr>
              <w:t>suprafața</w:t>
            </w:r>
            <w:r w:rsidR="006F3F0B">
              <w:rPr>
                <w:color w:val="000000"/>
                <w:sz w:val="24"/>
                <w:szCs w:val="24"/>
              </w:rPr>
              <w:t xml:space="preserve"> calculată în baza măsurărilor efectuate pe conturul exterior al </w:t>
            </w:r>
            <w:r>
              <w:rPr>
                <w:color w:val="000000"/>
                <w:sz w:val="24"/>
                <w:szCs w:val="24"/>
              </w:rPr>
              <w:t>pereților</w:t>
            </w:r>
            <w:r w:rsidR="006F3F0B">
              <w:rPr>
                <w:color w:val="000000"/>
                <w:sz w:val="24"/>
                <w:szCs w:val="24"/>
              </w:rPr>
              <w:t xml:space="preserve"> externi (mai sus de soclu) ai </w:t>
            </w:r>
            <w:r>
              <w:rPr>
                <w:color w:val="000000"/>
                <w:sz w:val="24"/>
                <w:szCs w:val="24"/>
              </w:rPr>
              <w:t>construcției</w:t>
            </w:r>
            <w:r w:rsidR="006F3F0B">
              <w:rPr>
                <w:color w:val="000000"/>
                <w:sz w:val="24"/>
                <w:szCs w:val="24"/>
              </w:rPr>
              <w:t xml:space="preserve">. În </w:t>
            </w:r>
            <w:r>
              <w:rPr>
                <w:color w:val="000000"/>
                <w:sz w:val="24"/>
                <w:szCs w:val="24"/>
              </w:rPr>
              <w:t>suprafața</w:t>
            </w:r>
            <w:r w:rsidR="006F3F0B">
              <w:rPr>
                <w:color w:val="000000"/>
                <w:sz w:val="24"/>
                <w:szCs w:val="24"/>
              </w:rPr>
              <w:t xml:space="preserve"> totală exterioară se include suma </w:t>
            </w:r>
            <w:r>
              <w:rPr>
                <w:color w:val="000000"/>
                <w:sz w:val="24"/>
                <w:szCs w:val="24"/>
              </w:rPr>
              <w:t>suprafețelor</w:t>
            </w:r>
            <w:r w:rsidR="006F3F0B">
              <w:rPr>
                <w:color w:val="000000"/>
                <w:sz w:val="24"/>
                <w:szCs w:val="24"/>
              </w:rPr>
              <w:t xml:space="preserve"> exterioare ale fiecărui etaj terestru. În </w:t>
            </w:r>
            <w:r>
              <w:rPr>
                <w:color w:val="000000"/>
                <w:sz w:val="24"/>
                <w:szCs w:val="24"/>
              </w:rPr>
              <w:t>suprafața</w:t>
            </w:r>
            <w:r w:rsidR="006F3F0B">
              <w:rPr>
                <w:color w:val="000000"/>
                <w:sz w:val="24"/>
                <w:szCs w:val="24"/>
              </w:rPr>
              <w:t xml:space="preserve"> totală exterioară nu se include </w:t>
            </w:r>
            <w:r>
              <w:rPr>
                <w:color w:val="000000"/>
                <w:sz w:val="24"/>
                <w:szCs w:val="24"/>
              </w:rPr>
              <w:t>suprafața</w:t>
            </w:r>
            <w:r w:rsidR="006F3F0B">
              <w:rPr>
                <w:color w:val="000000"/>
                <w:sz w:val="24"/>
                <w:szCs w:val="24"/>
              </w:rPr>
              <w:t xml:space="preserve"> subsolului, demisolului, mansardei, anexei. </w:t>
            </w:r>
          </w:p>
        </w:tc>
      </w:tr>
      <w:tr w:rsidR="005F6F16" w14:paraId="7851E01F" w14:textId="77777777">
        <w:tc>
          <w:tcPr>
            <w:tcW w:w="1384" w:type="dxa"/>
          </w:tcPr>
          <w:p w14:paraId="7851E37E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vertAlign w:val="subscript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s</w:t>
            </w:r>
            <w:proofErr w:type="spellEnd"/>
          </w:p>
        </w:tc>
        <w:tc>
          <w:tcPr>
            <w:tcW w:w="8187" w:type="dxa"/>
          </w:tcPr>
          <w:p w14:paraId="789146B1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“suprafața totală exterioară”;</w:t>
            </w:r>
          </w:p>
        </w:tc>
      </w:tr>
      <w:tr w:rsidR="005F6F16" w14:paraId="3652DCCE" w14:textId="77777777">
        <w:tc>
          <w:tcPr>
            <w:tcW w:w="1384" w:type="dxa"/>
          </w:tcPr>
          <w:p w14:paraId="780FEDC9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AInt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187" w:type="dxa"/>
          </w:tcPr>
          <w:p w14:paraId="162220D9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intercepta ecuației de regresie pentru factorul valoric “vârsta cronologică”;</w:t>
            </w:r>
          </w:p>
        </w:tc>
      </w:tr>
      <w:tr w:rsidR="005F6F16" w14:paraId="61C8F94F" w14:textId="77777777">
        <w:tc>
          <w:tcPr>
            <w:tcW w:w="1384" w:type="dxa"/>
          </w:tcPr>
          <w:p w14:paraId="23ED989D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8187" w:type="dxa"/>
          </w:tcPr>
          <w:p w14:paraId="52D735E8" w14:textId="77777777" w:rsidR="00B514E8" w:rsidRPr="00AC1532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– vârsta cronologică, ani (precizia 1,0). </w:t>
            </w:r>
          </w:p>
          <w:p w14:paraId="6D048757" w14:textId="352B227F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Vârsta cronologică se calculează ca diferență dintre anul evaluării/reevaluării masive și anul construcției / dării în exploatare a construcției;</w:t>
            </w:r>
          </w:p>
        </w:tc>
      </w:tr>
      <w:tr w:rsidR="005F6F16" w14:paraId="77926160" w14:textId="77777777">
        <w:tc>
          <w:tcPr>
            <w:tcW w:w="1384" w:type="dxa"/>
          </w:tcPr>
          <w:p w14:paraId="76112A55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KA</w:t>
            </w:r>
          </w:p>
        </w:tc>
        <w:tc>
          <w:tcPr>
            <w:tcW w:w="8187" w:type="dxa"/>
          </w:tcPr>
          <w:p w14:paraId="0B91E888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“vârsta cronologică”;</w:t>
            </w:r>
          </w:p>
        </w:tc>
      </w:tr>
      <w:tr w:rsidR="005F6F16" w14:paraId="70C827EB" w14:textId="77777777">
        <w:tc>
          <w:tcPr>
            <w:tcW w:w="1384" w:type="dxa"/>
          </w:tcPr>
          <w:p w14:paraId="45AE9404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  <w:r>
              <w:rPr>
                <w:b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8187" w:type="dxa"/>
          </w:tcPr>
          <w:p w14:paraId="557125E8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funcția pătratică a factorului valoric “vârsta cronologică”;</w:t>
            </w:r>
          </w:p>
        </w:tc>
      </w:tr>
      <w:tr w:rsidR="005F6F16" w14:paraId="04215232" w14:textId="77777777">
        <w:tc>
          <w:tcPr>
            <w:tcW w:w="1384" w:type="dxa"/>
          </w:tcPr>
          <w:p w14:paraId="49B05F20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KA2</w:t>
            </w:r>
          </w:p>
        </w:tc>
        <w:tc>
          <w:tcPr>
            <w:tcW w:w="8187" w:type="dxa"/>
          </w:tcPr>
          <w:p w14:paraId="0E3E391A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”vârsta cronologică” în cadrul funcției pătratice;</w:t>
            </w:r>
          </w:p>
        </w:tc>
      </w:tr>
      <w:tr w:rsidR="005F6F16" w14:paraId="7535FCC4" w14:textId="77777777">
        <w:tc>
          <w:tcPr>
            <w:tcW w:w="1384" w:type="dxa"/>
          </w:tcPr>
          <w:p w14:paraId="0D5B010A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  <w:r>
              <w:rPr>
                <w:b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187" w:type="dxa"/>
          </w:tcPr>
          <w:p w14:paraId="77438AEF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funcția cubică a factorului valoric ”vârsta cronologică”;</w:t>
            </w:r>
          </w:p>
        </w:tc>
      </w:tr>
      <w:tr w:rsidR="005F6F16" w14:paraId="03E776DD" w14:textId="77777777">
        <w:tc>
          <w:tcPr>
            <w:tcW w:w="1384" w:type="dxa"/>
          </w:tcPr>
          <w:p w14:paraId="332ED47A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KA3</w:t>
            </w:r>
          </w:p>
        </w:tc>
        <w:tc>
          <w:tcPr>
            <w:tcW w:w="8187" w:type="dxa"/>
          </w:tcPr>
          <w:p w14:paraId="269A2E1B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”vârsta cronologică” în cadrul funcției cubice;</w:t>
            </w:r>
          </w:p>
        </w:tc>
      </w:tr>
      <w:tr w:rsidR="005F6F16" w14:paraId="19C12249" w14:textId="77777777">
        <w:tc>
          <w:tcPr>
            <w:tcW w:w="1384" w:type="dxa"/>
          </w:tcPr>
          <w:p w14:paraId="61C7A079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KMP</w:t>
            </w:r>
          </w:p>
        </w:tc>
        <w:tc>
          <w:tcPr>
            <w:tcW w:w="8187" w:type="dxa"/>
          </w:tcPr>
          <w:p w14:paraId="49DA022C" w14:textId="77777777" w:rsidR="00B514E8" w:rsidRPr="00A97193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pt-BR"/>
              </w:rPr>
            </w:pPr>
            <w:r>
              <w:rPr>
                <w:color w:val="000000"/>
                <w:sz w:val="24"/>
                <w:szCs w:val="24"/>
              </w:rPr>
              <w:t xml:space="preserve">– coeficientul factorului valoric „materialul pereților”. </w:t>
            </w:r>
          </w:p>
          <w:p w14:paraId="426437E5" w14:textId="1FE907B9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Materialul pereților reprezintă tipul materialului predominant al </w:t>
            </w:r>
            <w:r w:rsidR="00DA4436">
              <w:rPr>
                <w:color w:val="000000"/>
                <w:sz w:val="24"/>
                <w:szCs w:val="24"/>
              </w:rPr>
              <w:t>pereților</w:t>
            </w:r>
            <w:r>
              <w:rPr>
                <w:color w:val="000000"/>
                <w:sz w:val="24"/>
                <w:szCs w:val="24"/>
              </w:rPr>
              <w:t xml:space="preserve"> exteriori ai </w:t>
            </w:r>
            <w:r w:rsidR="00DA4436">
              <w:rPr>
                <w:color w:val="000000"/>
                <w:sz w:val="24"/>
                <w:szCs w:val="24"/>
              </w:rPr>
              <w:t>construcției</w:t>
            </w:r>
            <w:r>
              <w:rPr>
                <w:color w:val="000000"/>
                <w:sz w:val="24"/>
                <w:szCs w:val="24"/>
              </w:rPr>
              <w:t>;</w:t>
            </w:r>
          </w:p>
        </w:tc>
      </w:tr>
      <w:tr w:rsidR="005F6F16" w14:paraId="50598F9E" w14:textId="77777777">
        <w:tc>
          <w:tcPr>
            <w:tcW w:w="1384" w:type="dxa"/>
          </w:tcPr>
          <w:p w14:paraId="214D190C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KST</w:t>
            </w:r>
          </w:p>
        </w:tc>
        <w:tc>
          <w:tcPr>
            <w:tcW w:w="8187" w:type="dxa"/>
          </w:tcPr>
          <w:p w14:paraId="25C6A2A0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„starea tehnică a construcției”;</w:t>
            </w:r>
          </w:p>
        </w:tc>
      </w:tr>
      <w:tr w:rsidR="005F6F16" w14:paraId="36B0B74E" w14:textId="77777777">
        <w:tc>
          <w:tcPr>
            <w:tcW w:w="1384" w:type="dxa"/>
          </w:tcPr>
          <w:p w14:paraId="16E782C8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KAC</w:t>
            </w:r>
          </w:p>
        </w:tc>
        <w:tc>
          <w:tcPr>
            <w:tcW w:w="8187" w:type="dxa"/>
          </w:tcPr>
          <w:p w14:paraId="42E720F8" w14:textId="77777777" w:rsidR="00B514E8" w:rsidRPr="00A97193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pt-BR"/>
              </w:rPr>
            </w:pPr>
            <w:r>
              <w:rPr>
                <w:color w:val="000000"/>
                <w:sz w:val="24"/>
                <w:szCs w:val="24"/>
              </w:rPr>
              <w:t xml:space="preserve">– coeficientul factorului valoric „materialul acoperișului”. </w:t>
            </w:r>
          </w:p>
          <w:p w14:paraId="4A90F917" w14:textId="4B923424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Materialul acoperișului reprezintă tipul materialului predominant al acoperișului </w:t>
            </w:r>
            <w:r w:rsidR="00DA4436">
              <w:rPr>
                <w:color w:val="000000"/>
                <w:sz w:val="24"/>
                <w:szCs w:val="24"/>
              </w:rPr>
              <w:t>construcției</w:t>
            </w:r>
            <w:r>
              <w:rPr>
                <w:color w:val="000000"/>
                <w:sz w:val="24"/>
                <w:szCs w:val="24"/>
              </w:rPr>
              <w:t>;</w:t>
            </w:r>
          </w:p>
        </w:tc>
      </w:tr>
      <w:tr w:rsidR="005F6F16" w14:paraId="5F6CB6CF" w14:textId="77777777">
        <w:tc>
          <w:tcPr>
            <w:tcW w:w="1384" w:type="dxa"/>
          </w:tcPr>
          <w:p w14:paraId="3474FDE8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KSB</w:t>
            </w:r>
          </w:p>
        </w:tc>
        <w:tc>
          <w:tcPr>
            <w:tcW w:w="8187" w:type="dxa"/>
          </w:tcPr>
          <w:p w14:paraId="073D8D91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„existența subsolului”;</w:t>
            </w:r>
          </w:p>
        </w:tc>
      </w:tr>
      <w:tr w:rsidR="005F6F16" w14:paraId="605571BD" w14:textId="77777777">
        <w:tc>
          <w:tcPr>
            <w:tcW w:w="1384" w:type="dxa"/>
          </w:tcPr>
          <w:p w14:paraId="68AE19CF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KMA</w:t>
            </w:r>
          </w:p>
        </w:tc>
        <w:tc>
          <w:tcPr>
            <w:tcW w:w="8187" w:type="dxa"/>
          </w:tcPr>
          <w:p w14:paraId="7A2108A4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„existența mansardei”;</w:t>
            </w:r>
          </w:p>
        </w:tc>
      </w:tr>
      <w:tr w:rsidR="005F6F16" w14:paraId="1AB9553B" w14:textId="77777777">
        <w:tc>
          <w:tcPr>
            <w:tcW w:w="1384" w:type="dxa"/>
          </w:tcPr>
          <w:p w14:paraId="48F94ABC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KAN</w:t>
            </w:r>
          </w:p>
        </w:tc>
        <w:tc>
          <w:tcPr>
            <w:tcW w:w="8187" w:type="dxa"/>
          </w:tcPr>
          <w:p w14:paraId="1EB4D76E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„existența anexei”;</w:t>
            </w:r>
          </w:p>
        </w:tc>
      </w:tr>
      <w:tr w:rsidR="005F6F16" w14:paraId="13304CFD" w14:textId="77777777">
        <w:tc>
          <w:tcPr>
            <w:tcW w:w="1384" w:type="dxa"/>
          </w:tcPr>
          <w:p w14:paraId="530769BC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GDF</w:t>
            </w:r>
          </w:p>
        </w:tc>
        <w:tc>
          <w:tcPr>
            <w:tcW w:w="8187" w:type="dxa"/>
          </w:tcPr>
          <w:p w14:paraId="5E703F11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ce exprimă gradul de finalizare a construcției (precizia 0,01);</w:t>
            </w:r>
          </w:p>
        </w:tc>
      </w:tr>
      <w:tr w:rsidR="005F6F16" w14:paraId="7C42636C" w14:textId="77777777">
        <w:tc>
          <w:tcPr>
            <w:tcW w:w="1384" w:type="dxa"/>
          </w:tcPr>
          <w:p w14:paraId="3F064945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KAjC</w:t>
            </w:r>
            <w:proofErr w:type="spellEnd"/>
          </w:p>
        </w:tc>
        <w:tc>
          <w:tcPr>
            <w:tcW w:w="8187" w:type="dxa"/>
          </w:tcPr>
          <w:p w14:paraId="6F35C138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ajustărilor comune (se va determina conform formulei 4 din pct. 5);</w:t>
            </w:r>
          </w:p>
        </w:tc>
      </w:tr>
      <w:tr w:rsidR="005F6F16" w14:paraId="4F867B95" w14:textId="77777777">
        <w:tc>
          <w:tcPr>
            <w:tcW w:w="1384" w:type="dxa"/>
          </w:tcPr>
          <w:p w14:paraId="19ED1D99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KCGLoc</w:t>
            </w:r>
            <w:proofErr w:type="spellEnd"/>
          </w:p>
        </w:tc>
        <w:tc>
          <w:tcPr>
            <w:tcW w:w="8187" w:type="dxa"/>
          </w:tcPr>
          <w:p w14:paraId="389537B2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„localitatea”. Factorul valoric dat se determină conform anexei 2 la prezentul ordin;</w:t>
            </w:r>
          </w:p>
        </w:tc>
      </w:tr>
      <w:tr w:rsidR="005F6F16" w14:paraId="3DC0CB40" w14:textId="77777777">
        <w:tc>
          <w:tcPr>
            <w:tcW w:w="1384" w:type="dxa"/>
          </w:tcPr>
          <w:p w14:paraId="753FEDC0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KCGZonă</w:t>
            </w:r>
            <w:proofErr w:type="spellEnd"/>
          </w:p>
        </w:tc>
        <w:tc>
          <w:tcPr>
            <w:tcW w:w="8187" w:type="dxa"/>
          </w:tcPr>
          <w:p w14:paraId="3090CACC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„zonă valorică”. Factorul valoric dat se determină conform anexei 2 la prezentul ordin;</w:t>
            </w:r>
          </w:p>
        </w:tc>
      </w:tr>
    </w:tbl>
    <w:p w14:paraId="2842399B" w14:textId="77777777" w:rsidR="005F6F16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  <w:sectPr w:rsidR="005F6F16" w:rsidSect="006F3F0B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1134" w:right="964" w:bottom="1134" w:left="1814" w:header="709" w:footer="709" w:gutter="0"/>
          <w:pgNumType w:start="1"/>
          <w:cols w:space="720"/>
          <w:titlePg/>
        </w:sectPr>
      </w:pPr>
    </w:p>
    <w:p w14:paraId="0FA8C39B" w14:textId="498DCC08" w:rsidR="00AC1532" w:rsidRDefault="00AC1532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br w:type="page"/>
      </w:r>
    </w:p>
    <w:p w14:paraId="5864D20C" w14:textId="5F5C448F" w:rsidR="005F6F16" w:rsidRDefault="006F3F0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Valoarea estimată a încăperii izolate înregistrată în Registrul bunurilor imobile cu destinația „</w:t>
      </w:r>
      <w:proofErr w:type="spellStart"/>
      <w:r>
        <w:rPr>
          <w:color w:val="000000"/>
          <w:sz w:val="24"/>
          <w:szCs w:val="24"/>
        </w:rPr>
        <w:t>nelocativă</w:t>
      </w:r>
      <w:proofErr w:type="spellEnd"/>
      <w:r>
        <w:rPr>
          <w:color w:val="000000"/>
          <w:sz w:val="24"/>
          <w:szCs w:val="24"/>
        </w:rPr>
        <w:t>”, utilizată ca garaj sau loc de parcare, situată în cadrul garajelor individuale (</w:t>
      </w:r>
      <w:r w:rsidR="001D7AB0">
        <w:rPr>
          <w:color w:val="000000"/>
          <w:sz w:val="24"/>
          <w:szCs w:val="24"/>
        </w:rPr>
        <w:t>cu excepția celor amplasate pe terenuri aferente caselor de locuit, caselor de vacanță</w:t>
      </w:r>
      <w:r>
        <w:rPr>
          <w:color w:val="000000"/>
          <w:sz w:val="24"/>
          <w:szCs w:val="24"/>
        </w:rPr>
        <w:t>), garajelor din CCG sau APG, blocurilor locative, se va determina după următoarea formulă:</w:t>
      </w:r>
    </w:p>
    <w:p w14:paraId="2EDAEDCD" w14:textId="77777777" w:rsidR="005F6F16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92"/>
        <w:jc w:val="both"/>
        <w:rPr>
          <w:color w:val="000000"/>
          <w:sz w:val="24"/>
          <w:szCs w:val="24"/>
        </w:rPr>
      </w:pPr>
    </w:p>
    <w:tbl>
      <w:tblPr>
        <w:tblStyle w:val="af1"/>
        <w:tblW w:w="9810" w:type="dxa"/>
        <w:tblInd w:w="-270" w:type="dxa"/>
        <w:tblLayout w:type="fixed"/>
        <w:tblLook w:val="0000" w:firstRow="0" w:lastRow="0" w:firstColumn="0" w:lastColumn="0" w:noHBand="0" w:noVBand="0"/>
      </w:tblPr>
      <w:tblGrid>
        <w:gridCol w:w="9000"/>
        <w:gridCol w:w="810"/>
      </w:tblGrid>
      <w:tr w:rsidR="005F6F16" w14:paraId="409ABE1C" w14:textId="77777777" w:rsidTr="00E82819">
        <w:trPr>
          <w:trHeight w:val="623"/>
        </w:trPr>
        <w:tc>
          <w:tcPr>
            <w:tcW w:w="9000" w:type="dxa"/>
            <w:vAlign w:val="center"/>
          </w:tcPr>
          <w:p w14:paraId="1FE1AA57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VÎI = EXP[(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SInt+K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S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*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Ln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(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S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int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)) + (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AInt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.+ A*KA + A</w:t>
            </w:r>
            <w:r>
              <w:rPr>
                <w:b/>
                <w:color w:val="000000"/>
                <w:sz w:val="24"/>
                <w:szCs w:val="24"/>
                <w:vertAlign w:val="superscript"/>
              </w:rPr>
              <w:t>2</w:t>
            </w:r>
            <w:r>
              <w:rPr>
                <w:b/>
                <w:color w:val="000000"/>
                <w:sz w:val="24"/>
                <w:szCs w:val="24"/>
              </w:rPr>
              <w:t>*KA2 + A</w:t>
            </w:r>
            <w:r>
              <w:rPr>
                <w:b/>
                <w:color w:val="000000"/>
                <w:sz w:val="24"/>
                <w:szCs w:val="24"/>
                <w:vertAlign w:val="superscript"/>
              </w:rPr>
              <w:t>3</w:t>
            </w:r>
            <w:r>
              <w:rPr>
                <w:b/>
                <w:color w:val="000000"/>
                <w:sz w:val="24"/>
                <w:szCs w:val="24"/>
              </w:rPr>
              <w:t xml:space="preserve">*KA3) + KMP + KST + KAC + KET + KSB + KMA + KAN] *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KAjC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* </w:t>
            </w:r>
            <w:proofErr w:type="spellStart"/>
            <w:r>
              <w:rPr>
                <w:b/>
                <w:sz w:val="24"/>
                <w:szCs w:val="24"/>
              </w:rPr>
              <w:t>KÎGLoc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* </w:t>
            </w:r>
            <w:proofErr w:type="spellStart"/>
            <w:r>
              <w:rPr>
                <w:b/>
                <w:sz w:val="24"/>
                <w:szCs w:val="24"/>
              </w:rPr>
              <w:t>KÎGZonă</w:t>
            </w:r>
            <w:proofErr w:type="spellEnd"/>
          </w:p>
        </w:tc>
        <w:tc>
          <w:tcPr>
            <w:tcW w:w="810" w:type="dxa"/>
            <w:vAlign w:val="center"/>
          </w:tcPr>
          <w:p w14:paraId="2F508F6B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</w:tr>
    </w:tbl>
    <w:p w14:paraId="0B7C0188" w14:textId="77777777" w:rsidR="005F6F16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92"/>
        <w:jc w:val="both"/>
        <w:rPr>
          <w:color w:val="000000"/>
          <w:sz w:val="24"/>
          <w:szCs w:val="24"/>
        </w:rPr>
      </w:pPr>
    </w:p>
    <w:p w14:paraId="2F536B37" w14:textId="77777777" w:rsidR="005F6F16" w:rsidRDefault="006F3F0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unde:</w:t>
      </w:r>
    </w:p>
    <w:tbl>
      <w:tblPr>
        <w:tblStyle w:val="af2"/>
        <w:tblpPr w:leftFromText="180" w:rightFromText="180" w:vertAnchor="text" w:tblpY="1"/>
        <w:tblW w:w="957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384"/>
        <w:gridCol w:w="8187"/>
      </w:tblGrid>
      <w:tr w:rsidR="005F6F16" w14:paraId="438522F8" w14:textId="77777777">
        <w:tc>
          <w:tcPr>
            <w:tcW w:w="1384" w:type="dxa"/>
          </w:tcPr>
          <w:p w14:paraId="2E44E849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VÎI</w:t>
            </w:r>
          </w:p>
        </w:tc>
        <w:tc>
          <w:tcPr>
            <w:tcW w:w="8187" w:type="dxa"/>
          </w:tcPr>
          <w:p w14:paraId="28FD5571" w14:textId="77777777" w:rsidR="00EA7DE5" w:rsidRPr="00A97193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pt-BR"/>
              </w:rPr>
            </w:pPr>
            <w:r>
              <w:rPr>
                <w:color w:val="000000"/>
                <w:sz w:val="24"/>
                <w:szCs w:val="24"/>
              </w:rPr>
              <w:t xml:space="preserve">– valoarea estimată a încăperii izolate, lei. </w:t>
            </w:r>
          </w:p>
          <w:p w14:paraId="2490010D" w14:textId="474140E2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Încăpere izolată se consideră încăperea înregistrată în Registrul bunurilor imobile cu destinația „</w:t>
            </w:r>
            <w:proofErr w:type="spellStart"/>
            <w:r>
              <w:rPr>
                <w:color w:val="000000"/>
                <w:sz w:val="24"/>
                <w:szCs w:val="24"/>
              </w:rPr>
              <w:t>nelocativă</w:t>
            </w:r>
            <w:proofErr w:type="spellEnd"/>
            <w:r>
              <w:rPr>
                <w:color w:val="000000"/>
                <w:sz w:val="24"/>
                <w:szCs w:val="24"/>
              </w:rPr>
              <w:t>”, utilizată ca garaj sau loc de parcare, situată în cadrul garajelor individuale (</w:t>
            </w:r>
            <w:r w:rsidR="001D7AB0">
              <w:rPr>
                <w:color w:val="000000"/>
                <w:sz w:val="24"/>
                <w:szCs w:val="24"/>
              </w:rPr>
              <w:t>cu excepția celor amplasate pe terenuri aferente caselor de locuit, caselor de vacanță</w:t>
            </w:r>
            <w:r>
              <w:rPr>
                <w:color w:val="000000"/>
                <w:sz w:val="24"/>
                <w:szCs w:val="24"/>
              </w:rPr>
              <w:t>), garajelor din CCG sau APG, blocurilor locative;</w:t>
            </w:r>
          </w:p>
        </w:tc>
      </w:tr>
      <w:tr w:rsidR="005F6F16" w14:paraId="0FB3F993" w14:textId="77777777">
        <w:tc>
          <w:tcPr>
            <w:tcW w:w="1384" w:type="dxa"/>
          </w:tcPr>
          <w:p w14:paraId="659B565D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SInt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187" w:type="dxa"/>
          </w:tcPr>
          <w:p w14:paraId="134D1890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intercepta ecuației de regresie pentru factorul valoric “suprafața totală interioară”;</w:t>
            </w:r>
          </w:p>
        </w:tc>
      </w:tr>
      <w:tr w:rsidR="005F6F16" w14:paraId="7E4709B6" w14:textId="77777777">
        <w:tc>
          <w:tcPr>
            <w:tcW w:w="1384" w:type="dxa"/>
          </w:tcPr>
          <w:p w14:paraId="067A24CB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S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int</w:t>
            </w:r>
            <w:proofErr w:type="spellEnd"/>
          </w:p>
        </w:tc>
        <w:tc>
          <w:tcPr>
            <w:tcW w:w="8187" w:type="dxa"/>
          </w:tcPr>
          <w:p w14:paraId="079FE27F" w14:textId="77777777" w:rsidR="00EA7DE5" w:rsidRPr="00A97193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line="276" w:lineRule="auto"/>
              <w:jc w:val="both"/>
              <w:rPr>
                <w:color w:val="000000"/>
                <w:sz w:val="24"/>
                <w:szCs w:val="24"/>
                <w:lang w:val="pt-BR"/>
              </w:rPr>
            </w:pPr>
            <w:r>
              <w:rPr>
                <w:color w:val="000000"/>
                <w:sz w:val="24"/>
                <w:szCs w:val="24"/>
              </w:rPr>
              <w:t xml:space="preserve">– suprafața totală interioară a încăperii izolate, m.p. </w:t>
            </w:r>
          </w:p>
          <w:p w14:paraId="16E22F8E" w14:textId="0D1C095D" w:rsidR="005F6F16" w:rsidRDefault="00DA44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4"/>
              </w:tabs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Suprafața</w:t>
            </w:r>
            <w:r w:rsidR="006F3F0B">
              <w:rPr>
                <w:color w:val="000000"/>
                <w:sz w:val="24"/>
                <w:szCs w:val="24"/>
              </w:rPr>
              <w:t xml:space="preserve"> totală interioară constituie </w:t>
            </w:r>
            <w:r>
              <w:rPr>
                <w:color w:val="000000"/>
                <w:sz w:val="24"/>
                <w:szCs w:val="24"/>
              </w:rPr>
              <w:t>suprafața</w:t>
            </w:r>
            <w:r w:rsidR="006F3F0B">
              <w:rPr>
                <w:color w:val="000000"/>
                <w:sz w:val="24"/>
                <w:szCs w:val="24"/>
              </w:rPr>
              <w:t xml:space="preserve"> calculată în baza măsurărilor efectuate pe conturul interior al </w:t>
            </w:r>
            <w:r>
              <w:rPr>
                <w:color w:val="000000"/>
                <w:sz w:val="24"/>
                <w:szCs w:val="24"/>
              </w:rPr>
              <w:t>pereților</w:t>
            </w:r>
            <w:r w:rsidR="006F3F0B">
              <w:rPr>
                <w:color w:val="000000"/>
                <w:sz w:val="24"/>
                <w:szCs w:val="24"/>
              </w:rPr>
              <w:t xml:space="preserve"> externi ai </w:t>
            </w:r>
            <w:r>
              <w:rPr>
                <w:color w:val="000000"/>
                <w:sz w:val="24"/>
                <w:szCs w:val="24"/>
              </w:rPr>
              <w:t>construcției</w:t>
            </w:r>
            <w:r w:rsidR="006F3F0B">
              <w:rPr>
                <w:color w:val="000000"/>
                <w:sz w:val="24"/>
                <w:szCs w:val="24"/>
              </w:rPr>
              <w:t xml:space="preserve">. În </w:t>
            </w:r>
            <w:r>
              <w:rPr>
                <w:color w:val="000000"/>
                <w:sz w:val="24"/>
                <w:szCs w:val="24"/>
              </w:rPr>
              <w:t>suprafața</w:t>
            </w:r>
            <w:r w:rsidR="006F3F0B">
              <w:rPr>
                <w:color w:val="000000"/>
                <w:sz w:val="24"/>
                <w:szCs w:val="24"/>
              </w:rPr>
              <w:t xml:space="preserve"> totală interioară nu se include </w:t>
            </w:r>
            <w:r>
              <w:rPr>
                <w:color w:val="000000"/>
                <w:sz w:val="24"/>
                <w:szCs w:val="24"/>
              </w:rPr>
              <w:t>suprafața</w:t>
            </w:r>
            <w:r w:rsidR="006F3F0B">
              <w:rPr>
                <w:color w:val="000000"/>
                <w:sz w:val="24"/>
                <w:szCs w:val="24"/>
              </w:rPr>
              <w:t xml:space="preserve"> subsolului, mansardei, anexei. </w:t>
            </w:r>
          </w:p>
        </w:tc>
      </w:tr>
      <w:tr w:rsidR="005F6F16" w14:paraId="6872D626" w14:textId="77777777">
        <w:tc>
          <w:tcPr>
            <w:tcW w:w="1384" w:type="dxa"/>
          </w:tcPr>
          <w:p w14:paraId="064C94FD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vertAlign w:val="subscript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</w:t>
            </w:r>
            <w:r>
              <w:rPr>
                <w:b/>
                <w:color w:val="000000"/>
                <w:sz w:val="24"/>
                <w:szCs w:val="24"/>
                <w:vertAlign w:val="subscript"/>
              </w:rPr>
              <w:t>s</w:t>
            </w:r>
            <w:proofErr w:type="spellEnd"/>
          </w:p>
        </w:tc>
        <w:tc>
          <w:tcPr>
            <w:tcW w:w="8187" w:type="dxa"/>
          </w:tcPr>
          <w:p w14:paraId="42FC69C7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“suprafața totală interioară”;</w:t>
            </w:r>
          </w:p>
        </w:tc>
      </w:tr>
      <w:tr w:rsidR="005F6F16" w14:paraId="67CCDED9" w14:textId="77777777">
        <w:tc>
          <w:tcPr>
            <w:tcW w:w="1384" w:type="dxa"/>
          </w:tcPr>
          <w:p w14:paraId="188E6E5C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AInt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187" w:type="dxa"/>
          </w:tcPr>
          <w:p w14:paraId="2B2C913F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intercepta ecuației de regresie pentru factorul valoric “vârsta cronologică”;</w:t>
            </w:r>
          </w:p>
        </w:tc>
      </w:tr>
      <w:tr w:rsidR="005F6F16" w14:paraId="1E0D5EEB" w14:textId="77777777">
        <w:tc>
          <w:tcPr>
            <w:tcW w:w="1384" w:type="dxa"/>
          </w:tcPr>
          <w:p w14:paraId="398E172E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8187" w:type="dxa"/>
          </w:tcPr>
          <w:p w14:paraId="4EAA86E6" w14:textId="77777777" w:rsidR="00EA7DE5" w:rsidRPr="005E0738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– vârsta cronologică, ani (precizia 1,0). </w:t>
            </w:r>
          </w:p>
          <w:p w14:paraId="1B1C0C37" w14:textId="1BC0CDF9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Vârsta cronologică se calculează ca diferență dintre anul evaluării/reevaluării masive și anul construcției / dării în exploatare a construcției;</w:t>
            </w:r>
          </w:p>
        </w:tc>
      </w:tr>
      <w:tr w:rsidR="005F6F16" w14:paraId="24D72622" w14:textId="77777777">
        <w:tc>
          <w:tcPr>
            <w:tcW w:w="1384" w:type="dxa"/>
          </w:tcPr>
          <w:p w14:paraId="01FF150C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KA</w:t>
            </w:r>
          </w:p>
        </w:tc>
        <w:tc>
          <w:tcPr>
            <w:tcW w:w="8187" w:type="dxa"/>
          </w:tcPr>
          <w:p w14:paraId="31D71F43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“vârsta cronologică”;</w:t>
            </w:r>
          </w:p>
        </w:tc>
      </w:tr>
      <w:tr w:rsidR="005F6F16" w14:paraId="282B893F" w14:textId="77777777">
        <w:tc>
          <w:tcPr>
            <w:tcW w:w="1384" w:type="dxa"/>
          </w:tcPr>
          <w:p w14:paraId="6CDEBA32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  <w:r>
              <w:rPr>
                <w:b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8187" w:type="dxa"/>
          </w:tcPr>
          <w:p w14:paraId="3799F3D2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funcția pătratică a factorului valoric “vârsta cronologică”;</w:t>
            </w:r>
          </w:p>
        </w:tc>
      </w:tr>
      <w:tr w:rsidR="005F6F16" w14:paraId="35A99642" w14:textId="77777777">
        <w:tc>
          <w:tcPr>
            <w:tcW w:w="1384" w:type="dxa"/>
          </w:tcPr>
          <w:p w14:paraId="293CF414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KA2</w:t>
            </w:r>
          </w:p>
        </w:tc>
        <w:tc>
          <w:tcPr>
            <w:tcW w:w="8187" w:type="dxa"/>
          </w:tcPr>
          <w:p w14:paraId="226C73F7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”vârsta cronologică” în cadrul funcției pătratice;</w:t>
            </w:r>
          </w:p>
        </w:tc>
      </w:tr>
      <w:tr w:rsidR="005F6F16" w14:paraId="7175ABB8" w14:textId="77777777">
        <w:tc>
          <w:tcPr>
            <w:tcW w:w="1384" w:type="dxa"/>
          </w:tcPr>
          <w:p w14:paraId="45F63F69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  <w:r>
              <w:rPr>
                <w:b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187" w:type="dxa"/>
          </w:tcPr>
          <w:p w14:paraId="12EB8C65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funcția cubică a factorului valoric ”vârsta cronologică”;</w:t>
            </w:r>
          </w:p>
        </w:tc>
      </w:tr>
      <w:tr w:rsidR="005F6F16" w14:paraId="42795D01" w14:textId="77777777">
        <w:tc>
          <w:tcPr>
            <w:tcW w:w="1384" w:type="dxa"/>
          </w:tcPr>
          <w:p w14:paraId="4A49B86A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KA3</w:t>
            </w:r>
          </w:p>
        </w:tc>
        <w:tc>
          <w:tcPr>
            <w:tcW w:w="8187" w:type="dxa"/>
          </w:tcPr>
          <w:p w14:paraId="09349D0B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”vârsta cronologică” în cadrul funcției cubice;</w:t>
            </w:r>
          </w:p>
        </w:tc>
      </w:tr>
      <w:tr w:rsidR="005F6F16" w14:paraId="5C72D129" w14:textId="77777777">
        <w:tc>
          <w:tcPr>
            <w:tcW w:w="1384" w:type="dxa"/>
          </w:tcPr>
          <w:p w14:paraId="44F1B712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KMP</w:t>
            </w:r>
          </w:p>
        </w:tc>
        <w:tc>
          <w:tcPr>
            <w:tcW w:w="8187" w:type="dxa"/>
          </w:tcPr>
          <w:p w14:paraId="23D31AFD" w14:textId="77777777" w:rsidR="00EA7DE5" w:rsidRPr="00A97193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pt-BR"/>
              </w:rPr>
            </w:pPr>
            <w:r>
              <w:rPr>
                <w:color w:val="000000"/>
                <w:sz w:val="24"/>
                <w:szCs w:val="24"/>
              </w:rPr>
              <w:t xml:space="preserve">– coeficientul factorului valoric „materialul pereților”. </w:t>
            </w:r>
          </w:p>
          <w:p w14:paraId="080900DD" w14:textId="7F05FD4B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Materialul pereților reprezintă tipul materialului predominant al </w:t>
            </w:r>
            <w:r w:rsidR="00DA4436">
              <w:rPr>
                <w:color w:val="000000"/>
                <w:sz w:val="24"/>
                <w:szCs w:val="24"/>
              </w:rPr>
              <w:t>pereților</w:t>
            </w:r>
            <w:r>
              <w:rPr>
                <w:color w:val="000000"/>
                <w:sz w:val="24"/>
                <w:szCs w:val="24"/>
              </w:rPr>
              <w:t xml:space="preserve"> exteriori ai </w:t>
            </w:r>
            <w:r w:rsidR="00DA4436">
              <w:rPr>
                <w:color w:val="000000"/>
                <w:sz w:val="24"/>
                <w:szCs w:val="24"/>
              </w:rPr>
              <w:t>construcției</w:t>
            </w:r>
            <w:r>
              <w:rPr>
                <w:color w:val="000000"/>
                <w:sz w:val="24"/>
                <w:szCs w:val="24"/>
              </w:rPr>
              <w:t>;</w:t>
            </w:r>
          </w:p>
        </w:tc>
      </w:tr>
      <w:tr w:rsidR="005F6F16" w14:paraId="45A22AC9" w14:textId="77777777">
        <w:tc>
          <w:tcPr>
            <w:tcW w:w="1384" w:type="dxa"/>
          </w:tcPr>
          <w:p w14:paraId="3BCEF88C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KST</w:t>
            </w:r>
          </w:p>
        </w:tc>
        <w:tc>
          <w:tcPr>
            <w:tcW w:w="8187" w:type="dxa"/>
          </w:tcPr>
          <w:p w14:paraId="0E21E6DB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„starea tehnică a construcției”;</w:t>
            </w:r>
          </w:p>
        </w:tc>
      </w:tr>
      <w:tr w:rsidR="005F6F16" w14:paraId="0320F335" w14:textId="77777777">
        <w:tc>
          <w:tcPr>
            <w:tcW w:w="1384" w:type="dxa"/>
          </w:tcPr>
          <w:p w14:paraId="795048F1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KAC</w:t>
            </w:r>
          </w:p>
        </w:tc>
        <w:tc>
          <w:tcPr>
            <w:tcW w:w="8187" w:type="dxa"/>
          </w:tcPr>
          <w:p w14:paraId="180B4349" w14:textId="52E5F043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– coeficientul factorului valoric „materialul acoperișului”. Materialul acoperișului reprezintă tipul materialului predominant al acoperișului </w:t>
            </w:r>
            <w:r w:rsidR="00DA4436">
              <w:rPr>
                <w:color w:val="000000"/>
                <w:sz w:val="24"/>
                <w:szCs w:val="24"/>
              </w:rPr>
              <w:t>construcției</w:t>
            </w:r>
            <w:r>
              <w:rPr>
                <w:color w:val="000000"/>
                <w:sz w:val="24"/>
                <w:szCs w:val="24"/>
              </w:rPr>
              <w:t>;</w:t>
            </w:r>
          </w:p>
        </w:tc>
      </w:tr>
      <w:tr w:rsidR="005F6F16" w14:paraId="2715DC7F" w14:textId="77777777">
        <w:tc>
          <w:tcPr>
            <w:tcW w:w="1384" w:type="dxa"/>
          </w:tcPr>
          <w:p w14:paraId="221EE7C3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KET</w:t>
            </w:r>
          </w:p>
        </w:tc>
        <w:tc>
          <w:tcPr>
            <w:tcW w:w="8187" w:type="dxa"/>
          </w:tcPr>
          <w:p w14:paraId="16ADDD77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„etajul amplasării încăperii izolate”;</w:t>
            </w:r>
          </w:p>
        </w:tc>
      </w:tr>
      <w:tr w:rsidR="005F6F16" w14:paraId="548BD955" w14:textId="77777777">
        <w:tc>
          <w:tcPr>
            <w:tcW w:w="1384" w:type="dxa"/>
          </w:tcPr>
          <w:p w14:paraId="0CB8CBCE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KSB</w:t>
            </w:r>
          </w:p>
        </w:tc>
        <w:tc>
          <w:tcPr>
            <w:tcW w:w="8187" w:type="dxa"/>
          </w:tcPr>
          <w:p w14:paraId="286F653F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„existența subsolului”;</w:t>
            </w:r>
          </w:p>
        </w:tc>
      </w:tr>
      <w:tr w:rsidR="005F6F16" w14:paraId="220CA92A" w14:textId="77777777">
        <w:tc>
          <w:tcPr>
            <w:tcW w:w="1384" w:type="dxa"/>
          </w:tcPr>
          <w:p w14:paraId="141D7B9B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KMA</w:t>
            </w:r>
          </w:p>
        </w:tc>
        <w:tc>
          <w:tcPr>
            <w:tcW w:w="8187" w:type="dxa"/>
          </w:tcPr>
          <w:p w14:paraId="4A1BA819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„existența mansardei”;</w:t>
            </w:r>
          </w:p>
        </w:tc>
      </w:tr>
      <w:tr w:rsidR="005F6F16" w14:paraId="7B733683" w14:textId="77777777">
        <w:tc>
          <w:tcPr>
            <w:tcW w:w="1384" w:type="dxa"/>
          </w:tcPr>
          <w:p w14:paraId="5AC2812E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KAN</w:t>
            </w:r>
          </w:p>
        </w:tc>
        <w:tc>
          <w:tcPr>
            <w:tcW w:w="8187" w:type="dxa"/>
          </w:tcPr>
          <w:p w14:paraId="72E2A224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„existența anexei”;</w:t>
            </w:r>
          </w:p>
        </w:tc>
      </w:tr>
      <w:tr w:rsidR="005F6F16" w14:paraId="2BE4C3F0" w14:textId="77777777">
        <w:tc>
          <w:tcPr>
            <w:tcW w:w="1384" w:type="dxa"/>
          </w:tcPr>
          <w:p w14:paraId="0DFF2E1D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KAjC</w:t>
            </w:r>
            <w:proofErr w:type="spellEnd"/>
          </w:p>
        </w:tc>
        <w:tc>
          <w:tcPr>
            <w:tcW w:w="8187" w:type="dxa"/>
          </w:tcPr>
          <w:p w14:paraId="1198BF04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ajustărilor comune (se va determina conform formulei 4 din pct. 5);</w:t>
            </w:r>
          </w:p>
        </w:tc>
      </w:tr>
      <w:tr w:rsidR="005F6F16" w14:paraId="74D84163" w14:textId="77777777">
        <w:tc>
          <w:tcPr>
            <w:tcW w:w="1384" w:type="dxa"/>
          </w:tcPr>
          <w:p w14:paraId="023D8C9B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KÎGLoc</w:t>
            </w:r>
            <w:proofErr w:type="spellEnd"/>
          </w:p>
        </w:tc>
        <w:tc>
          <w:tcPr>
            <w:tcW w:w="8187" w:type="dxa"/>
          </w:tcPr>
          <w:p w14:paraId="0E47D58D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„localitatea”. Factorul valoric dat se determină conform anexei 2 la prezentul ordin;</w:t>
            </w:r>
          </w:p>
        </w:tc>
      </w:tr>
      <w:tr w:rsidR="005F6F16" w14:paraId="6FD7DC08" w14:textId="77777777">
        <w:tc>
          <w:tcPr>
            <w:tcW w:w="1384" w:type="dxa"/>
          </w:tcPr>
          <w:p w14:paraId="27516887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KÎGZonă</w:t>
            </w:r>
            <w:proofErr w:type="spellEnd"/>
          </w:p>
        </w:tc>
        <w:tc>
          <w:tcPr>
            <w:tcW w:w="8187" w:type="dxa"/>
          </w:tcPr>
          <w:p w14:paraId="7923DCBB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„zonă valorică”. Factorul valoric dat se determină conform anexei 2 la prezentul ordin;</w:t>
            </w:r>
          </w:p>
        </w:tc>
      </w:tr>
    </w:tbl>
    <w:p w14:paraId="3ADB4E4F" w14:textId="77777777" w:rsidR="005F6F16" w:rsidRDefault="006F3F0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5. Coeficientul ajustărilor comune se va determina după următoarea formulă:</w:t>
      </w:r>
    </w:p>
    <w:p w14:paraId="0A580A37" w14:textId="77777777" w:rsidR="005F6F16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  <w:sectPr w:rsidR="005F6F16">
          <w:headerReference w:type="default" r:id="rId12"/>
          <w:type w:val="continuous"/>
          <w:pgSz w:w="11906" w:h="16838"/>
          <w:pgMar w:top="1134" w:right="850" w:bottom="1560" w:left="1701" w:header="708" w:footer="708" w:gutter="0"/>
          <w:cols w:space="720"/>
          <w:titlePg/>
        </w:sectPr>
      </w:pPr>
    </w:p>
    <w:p w14:paraId="6E8C8777" w14:textId="77777777" w:rsidR="005F6F16" w:rsidRDefault="005F6F1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</w:rPr>
      </w:pPr>
    </w:p>
    <w:tbl>
      <w:tblPr>
        <w:tblStyle w:val="af3"/>
        <w:tblW w:w="9555" w:type="dxa"/>
        <w:tblInd w:w="-180" w:type="dxa"/>
        <w:tblLayout w:type="fixed"/>
        <w:tblLook w:val="0000" w:firstRow="0" w:lastRow="0" w:firstColumn="0" w:lastColumn="0" w:noHBand="0" w:noVBand="0"/>
      </w:tblPr>
      <w:tblGrid>
        <w:gridCol w:w="8640"/>
        <w:gridCol w:w="915"/>
      </w:tblGrid>
      <w:tr w:rsidR="005F6F16" w14:paraId="47E2242F" w14:textId="77777777" w:rsidTr="00E82819">
        <w:tc>
          <w:tcPr>
            <w:tcW w:w="8640" w:type="dxa"/>
            <w:vAlign w:val="center"/>
          </w:tcPr>
          <w:p w14:paraId="2035D5DF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KAjC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= EXP(KAS + KDA + KEL +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KAp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+ KCA + KGA)</w:t>
            </w:r>
          </w:p>
        </w:tc>
        <w:tc>
          <w:tcPr>
            <w:tcW w:w="915" w:type="dxa"/>
            <w:vAlign w:val="center"/>
          </w:tcPr>
          <w:p w14:paraId="4C5A8661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</w:tr>
    </w:tbl>
    <w:p w14:paraId="4992FCF6" w14:textId="77777777" w:rsidR="005F6F16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</w:p>
    <w:p w14:paraId="26FF33B3" w14:textId="77777777" w:rsidR="005F6F16" w:rsidRDefault="006F3F0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unde:</w:t>
      </w:r>
    </w:p>
    <w:tbl>
      <w:tblPr>
        <w:tblStyle w:val="af4"/>
        <w:tblW w:w="9372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1008"/>
        <w:gridCol w:w="8364"/>
      </w:tblGrid>
      <w:tr w:rsidR="005F6F16" w14:paraId="3BA519AA" w14:textId="77777777">
        <w:trPr>
          <w:trHeight w:val="315"/>
        </w:trPr>
        <w:tc>
          <w:tcPr>
            <w:tcW w:w="1008" w:type="dxa"/>
          </w:tcPr>
          <w:p w14:paraId="276F14B3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KAS</w:t>
            </w:r>
          </w:p>
        </w:tc>
        <w:tc>
          <w:tcPr>
            <w:tcW w:w="8364" w:type="dxa"/>
          </w:tcPr>
          <w:p w14:paraId="6B79D31E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„amplasare sector”;</w:t>
            </w:r>
          </w:p>
        </w:tc>
      </w:tr>
      <w:tr w:rsidR="005F6F16" w14:paraId="7063B256" w14:textId="77777777">
        <w:trPr>
          <w:trHeight w:val="315"/>
        </w:trPr>
        <w:tc>
          <w:tcPr>
            <w:tcW w:w="1008" w:type="dxa"/>
          </w:tcPr>
          <w:p w14:paraId="47D65AA9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KDA</w:t>
            </w:r>
          </w:p>
        </w:tc>
        <w:tc>
          <w:tcPr>
            <w:tcW w:w="8364" w:type="dxa"/>
          </w:tcPr>
          <w:p w14:paraId="0560DF50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– coeficientul factorului valoric „drumul de acces”; </w:t>
            </w:r>
          </w:p>
        </w:tc>
      </w:tr>
      <w:tr w:rsidR="005F6F16" w14:paraId="2A6249CB" w14:textId="77777777">
        <w:trPr>
          <w:trHeight w:val="315"/>
        </w:trPr>
        <w:tc>
          <w:tcPr>
            <w:tcW w:w="1008" w:type="dxa"/>
          </w:tcPr>
          <w:p w14:paraId="3BBD88E0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KEL</w:t>
            </w:r>
          </w:p>
        </w:tc>
        <w:tc>
          <w:tcPr>
            <w:tcW w:w="8364" w:type="dxa"/>
          </w:tcPr>
          <w:p w14:paraId="60BE1AA3" w14:textId="77777777" w:rsidR="00EA7DE5" w:rsidRPr="00A97193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pt-BR"/>
              </w:rPr>
            </w:pPr>
            <w:r>
              <w:rPr>
                <w:color w:val="000000"/>
                <w:sz w:val="24"/>
                <w:szCs w:val="24"/>
              </w:rPr>
              <w:t xml:space="preserve">– coeficientul factorului valoric „existența rețelei de electricitate”. </w:t>
            </w:r>
          </w:p>
          <w:p w14:paraId="7138C81F" w14:textId="74BF0F62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Factorul valoric dat se ia în </w:t>
            </w:r>
            <w:r w:rsidR="00DA4436">
              <w:rPr>
                <w:color w:val="000000"/>
                <w:sz w:val="24"/>
                <w:szCs w:val="24"/>
              </w:rPr>
              <w:t>considerație</w:t>
            </w:r>
            <w:r>
              <w:rPr>
                <w:color w:val="000000"/>
                <w:sz w:val="24"/>
                <w:szCs w:val="24"/>
              </w:rPr>
              <w:t xml:space="preserve"> în cazul în care, pe terenul și / sau în </w:t>
            </w:r>
            <w:r w:rsidR="00DA4436">
              <w:rPr>
                <w:color w:val="000000"/>
                <w:sz w:val="24"/>
                <w:szCs w:val="24"/>
              </w:rPr>
              <w:t>construcție</w:t>
            </w:r>
            <w:r>
              <w:rPr>
                <w:color w:val="000000"/>
                <w:sz w:val="24"/>
                <w:szCs w:val="24"/>
              </w:rPr>
              <w:t xml:space="preserve"> există rețea de electricitate;</w:t>
            </w:r>
          </w:p>
        </w:tc>
      </w:tr>
      <w:tr w:rsidR="005F6F16" w14:paraId="1EA430C6" w14:textId="77777777">
        <w:trPr>
          <w:trHeight w:val="315"/>
        </w:trPr>
        <w:tc>
          <w:tcPr>
            <w:tcW w:w="1008" w:type="dxa"/>
          </w:tcPr>
          <w:p w14:paraId="17B5C664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KAp</w:t>
            </w:r>
            <w:proofErr w:type="spellEnd"/>
          </w:p>
        </w:tc>
        <w:tc>
          <w:tcPr>
            <w:tcW w:w="8364" w:type="dxa"/>
          </w:tcPr>
          <w:p w14:paraId="200E100F" w14:textId="77777777" w:rsidR="00EA7DE5" w:rsidRPr="00A97193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pt-BR"/>
              </w:rPr>
            </w:pPr>
            <w:r>
              <w:rPr>
                <w:color w:val="000000"/>
                <w:sz w:val="24"/>
                <w:szCs w:val="24"/>
              </w:rPr>
              <w:t xml:space="preserve">– coeficientul factorului valoric „existența apeductului”. </w:t>
            </w:r>
          </w:p>
          <w:p w14:paraId="3388B568" w14:textId="7163E326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Factorul valoric dat se ia în </w:t>
            </w:r>
            <w:r w:rsidR="00DA4436">
              <w:rPr>
                <w:color w:val="000000"/>
                <w:sz w:val="24"/>
                <w:szCs w:val="24"/>
              </w:rPr>
              <w:t>considerație</w:t>
            </w:r>
            <w:r>
              <w:rPr>
                <w:color w:val="000000"/>
                <w:sz w:val="24"/>
                <w:szCs w:val="24"/>
              </w:rPr>
              <w:t xml:space="preserve"> în cazul în care, pe terenul și / sau în </w:t>
            </w:r>
            <w:r w:rsidR="00DA4436">
              <w:rPr>
                <w:color w:val="000000"/>
                <w:sz w:val="24"/>
                <w:szCs w:val="24"/>
              </w:rPr>
              <w:t>construcție</w:t>
            </w:r>
            <w:r>
              <w:rPr>
                <w:color w:val="000000"/>
                <w:sz w:val="24"/>
                <w:szCs w:val="24"/>
              </w:rPr>
              <w:t xml:space="preserve"> există apeduct;</w:t>
            </w:r>
          </w:p>
        </w:tc>
      </w:tr>
      <w:tr w:rsidR="005F6F16" w14:paraId="4304071C" w14:textId="77777777">
        <w:trPr>
          <w:trHeight w:val="315"/>
        </w:trPr>
        <w:tc>
          <w:tcPr>
            <w:tcW w:w="1008" w:type="dxa"/>
          </w:tcPr>
          <w:p w14:paraId="1BEFD52D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KCA</w:t>
            </w:r>
          </w:p>
        </w:tc>
        <w:tc>
          <w:tcPr>
            <w:tcW w:w="8364" w:type="dxa"/>
          </w:tcPr>
          <w:p w14:paraId="1DE6BDFE" w14:textId="77777777" w:rsidR="00EA7DE5" w:rsidRPr="00A97193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pt-BR"/>
              </w:rPr>
            </w:pPr>
            <w:r>
              <w:rPr>
                <w:color w:val="000000"/>
                <w:sz w:val="24"/>
                <w:szCs w:val="24"/>
              </w:rPr>
              <w:t xml:space="preserve">– coeficientul factorului valoric „existența canalizării”. </w:t>
            </w:r>
          </w:p>
          <w:p w14:paraId="5AD1F07E" w14:textId="1D9951E0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Factorul valoric dat se ia în </w:t>
            </w:r>
            <w:r w:rsidR="00DA4436">
              <w:rPr>
                <w:color w:val="000000"/>
                <w:sz w:val="24"/>
                <w:szCs w:val="24"/>
              </w:rPr>
              <w:t>considerație</w:t>
            </w:r>
            <w:r>
              <w:rPr>
                <w:color w:val="000000"/>
                <w:sz w:val="24"/>
                <w:szCs w:val="24"/>
              </w:rPr>
              <w:t xml:space="preserve"> în cazul în care, pe terenul și / sau în </w:t>
            </w:r>
            <w:r w:rsidR="00DA4436">
              <w:rPr>
                <w:color w:val="000000"/>
                <w:sz w:val="24"/>
                <w:szCs w:val="24"/>
              </w:rPr>
              <w:t>construcție</w:t>
            </w:r>
            <w:r>
              <w:rPr>
                <w:color w:val="000000"/>
                <w:sz w:val="24"/>
                <w:szCs w:val="24"/>
              </w:rPr>
              <w:t xml:space="preserve"> există canalizare;</w:t>
            </w:r>
          </w:p>
        </w:tc>
      </w:tr>
      <w:tr w:rsidR="005F6F16" w14:paraId="7E217814" w14:textId="77777777">
        <w:trPr>
          <w:trHeight w:val="315"/>
        </w:trPr>
        <w:tc>
          <w:tcPr>
            <w:tcW w:w="1008" w:type="dxa"/>
          </w:tcPr>
          <w:p w14:paraId="0C91A83F" w14:textId="77777777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KGA</w:t>
            </w:r>
          </w:p>
        </w:tc>
        <w:tc>
          <w:tcPr>
            <w:tcW w:w="8364" w:type="dxa"/>
          </w:tcPr>
          <w:p w14:paraId="09AECEE6" w14:textId="77777777" w:rsidR="00EA7DE5" w:rsidRPr="00A97193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  <w:lang w:val="pt-BR"/>
              </w:rPr>
            </w:pPr>
            <w:r>
              <w:rPr>
                <w:color w:val="000000"/>
                <w:sz w:val="24"/>
                <w:szCs w:val="24"/>
              </w:rPr>
              <w:t>– coeficientul factorului valoric „existența gazoductului”.</w:t>
            </w:r>
          </w:p>
          <w:p w14:paraId="4AF04204" w14:textId="7C66AAAE" w:rsidR="005F6F16" w:rsidRDefault="006F3F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Factorul valoric dat se ia în </w:t>
            </w:r>
            <w:r w:rsidR="00DA4436">
              <w:rPr>
                <w:color w:val="000000"/>
                <w:sz w:val="24"/>
                <w:szCs w:val="24"/>
              </w:rPr>
              <w:t>considerație</w:t>
            </w:r>
            <w:r>
              <w:rPr>
                <w:color w:val="000000"/>
                <w:sz w:val="24"/>
                <w:szCs w:val="24"/>
              </w:rPr>
              <w:t xml:space="preserve"> în cazul în care, pe terenul și / sau în </w:t>
            </w:r>
            <w:r w:rsidR="00DA4436">
              <w:rPr>
                <w:color w:val="000000"/>
                <w:sz w:val="24"/>
                <w:szCs w:val="24"/>
              </w:rPr>
              <w:t>construcție</w:t>
            </w:r>
            <w:r>
              <w:rPr>
                <w:color w:val="000000"/>
                <w:sz w:val="24"/>
                <w:szCs w:val="24"/>
              </w:rPr>
              <w:t xml:space="preserve"> există gazoduct;</w:t>
            </w:r>
          </w:p>
        </w:tc>
      </w:tr>
    </w:tbl>
    <w:p w14:paraId="6508954B" w14:textId="77777777" w:rsidR="005F6F16" w:rsidRDefault="005F6F1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</w:p>
    <w:p w14:paraId="15544C2B" w14:textId="470E3E66" w:rsidR="005F6F16" w:rsidRDefault="006F3F0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6. Coeficienții factorilor valorici, </w:t>
      </w:r>
      <w:r w:rsidR="00DA4436">
        <w:rPr>
          <w:color w:val="000000"/>
          <w:sz w:val="24"/>
          <w:szCs w:val="24"/>
        </w:rPr>
        <w:t>aplicați</w:t>
      </w:r>
      <w:r>
        <w:rPr>
          <w:color w:val="000000"/>
          <w:sz w:val="24"/>
          <w:szCs w:val="24"/>
        </w:rPr>
        <w:t xml:space="preserve"> în modelul de evaluare a garajelor individuale </w:t>
      </w:r>
      <w:r w:rsidR="00EA7DE5" w:rsidRPr="00A97193">
        <w:rPr>
          <w:color w:val="000000"/>
          <w:sz w:val="24"/>
          <w:szCs w:val="24"/>
        </w:rPr>
        <w:br/>
      </w:r>
      <w:r>
        <w:rPr>
          <w:color w:val="000000"/>
          <w:sz w:val="24"/>
          <w:szCs w:val="24"/>
        </w:rPr>
        <w:t>(</w:t>
      </w:r>
      <w:r w:rsidR="001D7AB0">
        <w:rPr>
          <w:color w:val="000000"/>
          <w:sz w:val="24"/>
          <w:szCs w:val="24"/>
        </w:rPr>
        <w:t>cu excepția celor amplasate pe terenuri aferente caselor de locuit, caselor de vacanță</w:t>
      </w:r>
      <w:r>
        <w:rPr>
          <w:color w:val="000000"/>
          <w:sz w:val="24"/>
          <w:szCs w:val="24"/>
        </w:rPr>
        <w:t>), a garajelor din cooperative de construcții ale garajelor (CCG) sau asociațiilor proprietarilor de garaje (APG), a garajelor și locurilor de parcare situate în blocuri locative, amplasate în toate localitățile Republicii Moldova, în scopul impozitării, sunt detaliați în anexa 3.</w:t>
      </w:r>
    </w:p>
    <w:sectPr w:rsidR="005F6F16">
      <w:headerReference w:type="default" r:id="rId13"/>
      <w:type w:val="continuous"/>
      <w:pgSz w:w="11906" w:h="16838"/>
      <w:pgMar w:top="1134" w:right="850" w:bottom="1560" w:left="1701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0271BC" w14:textId="77777777" w:rsidR="0065498D" w:rsidRDefault="0065498D">
      <w:r>
        <w:separator/>
      </w:r>
    </w:p>
  </w:endnote>
  <w:endnote w:type="continuationSeparator" w:id="0">
    <w:p w14:paraId="6DDBDB65" w14:textId="77777777" w:rsidR="0065498D" w:rsidRDefault="006549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F9E543C-447B-4A9C-8614-27ED880667D4}"/>
    <w:embedBold r:id="rId2" w:fontKey="{EE0429CD-71E8-4C92-B35F-E329DC0E0A6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3" w:fontKey="{7FB8FF33-89A0-4EBD-B20B-44B84CD2794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A32498D0-5388-427B-94C7-BC493C6CA393}"/>
    <w:embedBold r:id="rId5" w:fontKey="{8CBCB6AC-27E0-465F-8578-DEB888D8C28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C41F9A0C-9A88-4FAE-976C-4F1DDC5C290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BCC2C05D-84D8-477D-92BF-2EF581582E69}"/>
    <w:embedItalic r:id="rId8" w:fontKey="{89D00966-FB0B-4F74-B6CF-BEFFAEF15CE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20A8B3F8-15BA-4557-B926-D8AEDFF140B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D05453" w14:textId="77777777" w:rsidR="005F6F16" w:rsidRDefault="005F6F16">
    <w:pPr>
      <w:pBdr>
        <w:top w:val="nil"/>
        <w:left w:val="nil"/>
        <w:bottom w:val="nil"/>
        <w:right w:val="nil"/>
        <w:between w:val="nil"/>
      </w:pBdr>
      <w:rPr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5E9FB0" w14:textId="77777777" w:rsidR="005F6F16" w:rsidRDefault="005F6F16">
    <w:pPr>
      <w:pBdr>
        <w:top w:val="nil"/>
        <w:left w:val="nil"/>
        <w:bottom w:val="nil"/>
        <w:right w:val="nil"/>
        <w:between w:val="nil"/>
      </w:pBdr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D38D24" w14:textId="77777777" w:rsidR="0065498D" w:rsidRDefault="0065498D">
      <w:r>
        <w:separator/>
      </w:r>
    </w:p>
  </w:footnote>
  <w:footnote w:type="continuationSeparator" w:id="0">
    <w:p w14:paraId="113C8142" w14:textId="77777777" w:rsidR="0065498D" w:rsidRDefault="0065498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CA5A86" w14:textId="7605820A" w:rsidR="005F6F16" w:rsidRDefault="005F6F16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33A475" w14:textId="2650BCCF" w:rsidR="005F6F16" w:rsidRDefault="006F3F0B">
    <w:pPr>
      <w:pBdr>
        <w:top w:val="nil"/>
        <w:left w:val="nil"/>
        <w:bottom w:val="nil"/>
        <w:right w:val="nil"/>
        <w:between w:val="nil"/>
      </w:pBdr>
      <w:spacing w:line="276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Anexa </w:t>
    </w:r>
    <w:r w:rsidR="00681444">
      <w:rPr>
        <w:color w:val="000000"/>
        <w:sz w:val="24"/>
        <w:szCs w:val="24"/>
      </w:rPr>
      <w:t xml:space="preserve">nr. </w:t>
    </w:r>
    <w:r>
      <w:rPr>
        <w:color w:val="000000"/>
        <w:sz w:val="24"/>
        <w:szCs w:val="24"/>
      </w:rPr>
      <w:t>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67B0DF" w14:textId="77777777" w:rsidR="005F6F16" w:rsidRDefault="005F6F16">
    <w:pPr>
      <w:pBdr>
        <w:top w:val="nil"/>
        <w:left w:val="nil"/>
        <w:bottom w:val="nil"/>
        <w:right w:val="nil"/>
        <w:between w:val="nil"/>
      </w:pBdr>
      <w:rPr>
        <w:color w:val="000000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623868" w14:textId="495999BF" w:rsidR="005F6F16" w:rsidRDefault="006F3F0B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Continuare Anexa </w:t>
    </w:r>
    <w:r w:rsidR="00681444">
      <w:rPr>
        <w:color w:val="000000"/>
        <w:sz w:val="24"/>
        <w:szCs w:val="24"/>
      </w:rPr>
      <w:t xml:space="preserve">nr. </w:t>
    </w:r>
    <w:r>
      <w:rPr>
        <w:color w:val="000000"/>
        <w:sz w:val="24"/>
        <w:szCs w:val="24"/>
      </w:rPr>
      <w:t>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B0165B"/>
    <w:multiLevelType w:val="multilevel"/>
    <w:tmpl w:val="8A42B114"/>
    <w:lvl w:ilvl="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6E266462"/>
    <w:multiLevelType w:val="multilevel"/>
    <w:tmpl w:val="B3706E5C"/>
    <w:lvl w:ilvl="0">
      <w:start w:val="1"/>
      <w:numFmt w:val="decimal"/>
      <w:lvlText w:val="%1."/>
      <w:lvlJc w:val="left"/>
      <w:pPr>
        <w:ind w:left="2782" w:hanging="360"/>
      </w:pPr>
      <w:rPr>
        <w:vertAlign w:val="baseline"/>
      </w:rPr>
    </w:lvl>
    <w:lvl w:ilvl="1">
      <w:start w:val="1"/>
      <w:numFmt w:val="decimal"/>
      <w:lvlText w:val="%1.%2."/>
      <w:lvlJc w:val="left"/>
      <w:pPr>
        <w:ind w:left="1512" w:hanging="432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1944" w:hanging="504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2952" w:hanging="792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3456" w:hanging="935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3960" w:hanging="108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4464" w:hanging="1224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5040" w:hanging="1440"/>
      </w:pPr>
      <w:rPr>
        <w:vertAlign w:val="baseline"/>
      </w:rPr>
    </w:lvl>
  </w:abstractNum>
  <w:num w:numId="1" w16cid:durableId="1346322024">
    <w:abstractNumId w:val="1"/>
  </w:num>
  <w:num w:numId="2" w16cid:durableId="13812482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F16"/>
    <w:rsid w:val="00010951"/>
    <w:rsid w:val="001D7AB0"/>
    <w:rsid w:val="004805DC"/>
    <w:rsid w:val="005E0738"/>
    <w:rsid w:val="005F6F16"/>
    <w:rsid w:val="0065498D"/>
    <w:rsid w:val="00681444"/>
    <w:rsid w:val="006F3F0B"/>
    <w:rsid w:val="00703A92"/>
    <w:rsid w:val="009C58D1"/>
    <w:rsid w:val="00A97193"/>
    <w:rsid w:val="00AB0961"/>
    <w:rsid w:val="00AC1532"/>
    <w:rsid w:val="00B514E8"/>
    <w:rsid w:val="00C74541"/>
    <w:rsid w:val="00CC7880"/>
    <w:rsid w:val="00DA4436"/>
    <w:rsid w:val="00DE442D"/>
    <w:rsid w:val="00E072C1"/>
    <w:rsid w:val="00E82819"/>
    <w:rsid w:val="00EA7DE5"/>
    <w:rsid w:val="00F6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5A69D9"/>
  <w15:docId w15:val="{0DF30166-240B-4CED-AC3C-5918033B44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10">
    <w:name w:val="Обычный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2"/>
      <w:lang w:val="ro-RO"/>
    </w:rPr>
  </w:style>
  <w:style w:type="paragraph" w:customStyle="1" w:styleId="11">
    <w:name w:val="Заголовок 11"/>
    <w:basedOn w:val="10"/>
    <w:next w:val="10"/>
    <w:pPr>
      <w:keepNext/>
      <w:spacing w:before="240" w:after="60"/>
    </w:pPr>
    <w:rPr>
      <w:rFonts w:ascii="Calibri Light" w:hAnsi="Calibri Light"/>
      <w:b/>
      <w:bCs/>
      <w:kern w:val="32"/>
      <w:sz w:val="32"/>
      <w:szCs w:val="32"/>
      <w:lang w:val="ru-RU"/>
    </w:rPr>
  </w:style>
  <w:style w:type="character" w:customStyle="1" w:styleId="12">
    <w:name w:val="Основной шрифт абзаца1"/>
    <w:qFormat/>
    <w:rPr>
      <w:w w:val="100"/>
      <w:position w:val="-1"/>
      <w:effect w:val="none"/>
      <w:vertAlign w:val="baseline"/>
      <w:cs w:val="0"/>
      <w:em w:val="none"/>
    </w:rPr>
  </w:style>
  <w:style w:type="table" w:customStyle="1" w:styleId="13">
    <w:name w:val="Обычная таблица1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">
    <w:name w:val="Нет списка1"/>
    <w:qFormat/>
  </w:style>
  <w:style w:type="paragraph" w:customStyle="1" w:styleId="15">
    <w:name w:val="Абзац списка1"/>
    <w:basedOn w:val="10"/>
    <w:pPr>
      <w:ind w:left="720"/>
      <w:contextualSpacing/>
    </w:pPr>
  </w:style>
  <w:style w:type="paragraph" w:customStyle="1" w:styleId="16">
    <w:name w:val="Схема документа1"/>
    <w:basedOn w:val="10"/>
    <w:qFormat/>
    <w:rPr>
      <w:rFonts w:ascii="Tahoma" w:hAnsi="Tahoma"/>
      <w:sz w:val="16"/>
      <w:szCs w:val="16"/>
    </w:rPr>
  </w:style>
  <w:style w:type="character" w:customStyle="1" w:styleId="a4">
    <w:name w:val="Схема документа Знак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table" w:customStyle="1" w:styleId="17">
    <w:name w:val="Сетка таблицы1"/>
    <w:basedOn w:val="1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5">
    <w:name w:val="Обычный (веб)"/>
    <w:basedOn w:val="10"/>
    <w:qFormat/>
    <w:pPr>
      <w:spacing w:before="100" w:beforeAutospacing="1" w:after="100" w:afterAutospacing="1"/>
    </w:pPr>
    <w:rPr>
      <w:szCs w:val="24"/>
      <w:lang w:eastAsia="ru-RU"/>
    </w:rPr>
  </w:style>
  <w:style w:type="character" w:customStyle="1" w:styleId="18">
    <w:name w:val="Гиперссылка1"/>
    <w:qFormat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19">
    <w:name w:val="Просмотренная гиперссылка1"/>
    <w:qFormat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paragraph" w:customStyle="1" w:styleId="xl115">
    <w:name w:val="xl115"/>
    <w:basedOn w:val="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 w:cs="Calibri"/>
      <w:szCs w:val="24"/>
      <w:lang w:eastAsia="ru-RU"/>
    </w:rPr>
  </w:style>
  <w:style w:type="paragraph" w:customStyle="1" w:styleId="xl116">
    <w:name w:val="xl116"/>
    <w:basedOn w:val="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5E0B3" w:fill="C5E0B3"/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szCs w:val="24"/>
      <w:lang w:eastAsia="ru-RU"/>
    </w:rPr>
  </w:style>
  <w:style w:type="paragraph" w:customStyle="1" w:styleId="xl117">
    <w:name w:val="xl117"/>
    <w:basedOn w:val="10"/>
    <w:pPr>
      <w:spacing w:before="100" w:beforeAutospacing="1" w:after="100" w:afterAutospacing="1"/>
    </w:pPr>
    <w:rPr>
      <w:rFonts w:ascii="Calibri" w:hAnsi="Calibri" w:cs="Calibri"/>
      <w:szCs w:val="24"/>
      <w:lang w:eastAsia="ru-RU"/>
    </w:rPr>
  </w:style>
  <w:style w:type="paragraph" w:customStyle="1" w:styleId="xl118">
    <w:name w:val="xl118"/>
    <w:basedOn w:val="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alibri" w:hAnsi="Calibri" w:cs="Calibri"/>
      <w:szCs w:val="24"/>
      <w:lang w:eastAsia="ru-RU"/>
    </w:rPr>
  </w:style>
  <w:style w:type="paragraph" w:customStyle="1" w:styleId="xl119">
    <w:name w:val="xl119"/>
    <w:basedOn w:val="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C5E0B3" w:fill="8EAADC"/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szCs w:val="24"/>
      <w:lang w:eastAsia="ru-RU"/>
    </w:rPr>
  </w:style>
  <w:style w:type="paragraph" w:customStyle="1" w:styleId="1a">
    <w:name w:val="Верхний колонтитул1"/>
    <w:basedOn w:val="10"/>
    <w:qFormat/>
  </w:style>
  <w:style w:type="character" w:customStyle="1" w:styleId="a6">
    <w:name w:val="Верхний колонтитул Знак"/>
    <w:basedOn w:val="12"/>
    <w:rPr>
      <w:w w:val="100"/>
      <w:position w:val="-1"/>
      <w:effect w:val="none"/>
      <w:vertAlign w:val="baseline"/>
      <w:cs w:val="0"/>
      <w:em w:val="none"/>
    </w:rPr>
  </w:style>
  <w:style w:type="paragraph" w:customStyle="1" w:styleId="1b">
    <w:name w:val="Нижний колонтитул1"/>
    <w:basedOn w:val="10"/>
    <w:qFormat/>
  </w:style>
  <w:style w:type="character" w:customStyle="1" w:styleId="a7">
    <w:name w:val="Нижний колонтитул Знак"/>
    <w:basedOn w:val="12"/>
    <w:rPr>
      <w:w w:val="100"/>
      <w:position w:val="-1"/>
      <w:effect w:val="none"/>
      <w:vertAlign w:val="baseline"/>
      <w:cs w:val="0"/>
      <w:em w:val="none"/>
    </w:rPr>
  </w:style>
  <w:style w:type="paragraph" w:customStyle="1" w:styleId="1c">
    <w:name w:val="Название объекта1"/>
    <w:basedOn w:val="10"/>
    <w:next w:val="10"/>
    <w:qFormat/>
    <w:pPr>
      <w:spacing w:after="200"/>
    </w:pPr>
    <w:rPr>
      <w:b/>
      <w:bCs/>
      <w:color w:val="4F81BD"/>
      <w:sz w:val="18"/>
      <w:szCs w:val="18"/>
    </w:rPr>
  </w:style>
  <w:style w:type="character" w:customStyle="1" w:styleId="1d">
    <w:name w:val="Знак примечания1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1e">
    <w:name w:val="Текст примечания1"/>
    <w:basedOn w:val="10"/>
    <w:qFormat/>
    <w:rPr>
      <w:sz w:val="20"/>
      <w:szCs w:val="20"/>
    </w:rPr>
  </w:style>
  <w:style w:type="character" w:customStyle="1" w:styleId="a8">
    <w:name w:val="Текст примечания Знак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customStyle="1" w:styleId="1f">
    <w:name w:val="Тема примечания1"/>
    <w:basedOn w:val="1e"/>
    <w:next w:val="1e"/>
    <w:qFormat/>
    <w:rPr>
      <w:b/>
      <w:bCs/>
    </w:rPr>
  </w:style>
  <w:style w:type="character" w:customStyle="1" w:styleId="a9">
    <w:name w:val="Тема примечания Знак"/>
    <w:rPr>
      <w:b/>
      <w:bCs/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customStyle="1" w:styleId="1f0">
    <w:name w:val="Текст выноски1"/>
    <w:basedOn w:val="10"/>
    <w:qFormat/>
    <w:rPr>
      <w:rFonts w:ascii="Tahoma" w:hAnsi="Tahoma"/>
      <w:sz w:val="16"/>
      <w:szCs w:val="16"/>
    </w:rPr>
  </w:style>
  <w:style w:type="character" w:customStyle="1" w:styleId="aa">
    <w:name w:val="Текст выноски Знак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msonormal0">
    <w:name w:val="msonormal"/>
    <w:basedOn w:val="10"/>
    <w:pPr>
      <w:spacing w:before="100" w:beforeAutospacing="1" w:after="100" w:afterAutospacing="1"/>
    </w:pPr>
    <w:rPr>
      <w:szCs w:val="24"/>
    </w:rPr>
  </w:style>
  <w:style w:type="paragraph" w:customStyle="1" w:styleId="xl124">
    <w:name w:val="xl124"/>
    <w:basedOn w:val="10"/>
    <w:pPr>
      <w:spacing w:before="100" w:beforeAutospacing="1" w:after="100" w:afterAutospacing="1"/>
      <w:jc w:val="center"/>
    </w:pPr>
    <w:rPr>
      <w:szCs w:val="24"/>
    </w:rPr>
  </w:style>
  <w:style w:type="character" w:customStyle="1" w:styleId="1f1">
    <w:name w:val="Замещающий текст1"/>
    <w:rPr>
      <w:color w:val="808080"/>
      <w:w w:val="100"/>
      <w:position w:val="-1"/>
      <w:effect w:val="none"/>
      <w:vertAlign w:val="baseline"/>
      <w:cs w:val="0"/>
      <w:em w:val="none"/>
    </w:rPr>
  </w:style>
  <w:style w:type="paragraph" w:customStyle="1" w:styleId="xl120">
    <w:name w:val="xl120"/>
    <w:basedOn w:val="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  <w:lang w:val="ro-MD" w:eastAsia="ro-MD"/>
    </w:rPr>
  </w:style>
  <w:style w:type="paragraph" w:customStyle="1" w:styleId="xl121">
    <w:name w:val="xl121"/>
    <w:basedOn w:val="10"/>
    <w:pPr>
      <w:spacing w:before="100" w:beforeAutospacing="1" w:after="100" w:afterAutospacing="1"/>
      <w:jc w:val="center"/>
      <w:textAlignment w:val="center"/>
    </w:pPr>
    <w:rPr>
      <w:b/>
      <w:bCs/>
      <w:szCs w:val="24"/>
      <w:lang w:val="ro-MD" w:eastAsia="ro-MD"/>
    </w:rPr>
  </w:style>
  <w:style w:type="paragraph" w:customStyle="1" w:styleId="xl122">
    <w:name w:val="xl122"/>
    <w:basedOn w:val="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  <w:lang w:val="ro-MD" w:eastAsia="ro-MD"/>
    </w:rPr>
  </w:style>
  <w:style w:type="paragraph" w:customStyle="1" w:styleId="xl123">
    <w:name w:val="xl123"/>
    <w:basedOn w:val="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ro-MD" w:eastAsia="ro-MD"/>
    </w:rPr>
  </w:style>
  <w:style w:type="paragraph" w:customStyle="1" w:styleId="xl125">
    <w:name w:val="xl125"/>
    <w:basedOn w:val="1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ro-MD" w:eastAsia="ro-MD"/>
    </w:rPr>
  </w:style>
  <w:style w:type="paragraph" w:customStyle="1" w:styleId="xl126">
    <w:name w:val="xl126"/>
    <w:basedOn w:val="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  <w:lang w:val="ro-MD" w:eastAsia="ro-MD"/>
    </w:rPr>
  </w:style>
  <w:style w:type="paragraph" w:customStyle="1" w:styleId="xl127">
    <w:name w:val="xl127"/>
    <w:basedOn w:val="1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ro-MD" w:eastAsia="ro-MD"/>
    </w:rPr>
  </w:style>
  <w:style w:type="paragraph" w:customStyle="1" w:styleId="xl128">
    <w:name w:val="xl128"/>
    <w:basedOn w:val="10"/>
    <w:pPr>
      <w:spacing w:before="100" w:beforeAutospacing="1" w:after="100" w:afterAutospacing="1"/>
      <w:jc w:val="center"/>
      <w:textAlignment w:val="center"/>
    </w:pPr>
    <w:rPr>
      <w:szCs w:val="24"/>
      <w:lang w:val="ro-MD" w:eastAsia="ro-MD"/>
    </w:rPr>
  </w:style>
  <w:style w:type="paragraph" w:customStyle="1" w:styleId="xl129">
    <w:name w:val="xl129"/>
    <w:basedOn w:val="10"/>
    <w:pPr>
      <w:spacing w:before="100" w:beforeAutospacing="1" w:after="100" w:afterAutospacing="1"/>
      <w:jc w:val="center"/>
      <w:textAlignment w:val="center"/>
    </w:pPr>
    <w:rPr>
      <w:b/>
      <w:bCs/>
      <w:szCs w:val="24"/>
      <w:lang w:val="ro-MD" w:eastAsia="ro-MD"/>
    </w:rPr>
  </w:style>
  <w:style w:type="paragraph" w:customStyle="1" w:styleId="xl130">
    <w:name w:val="xl130"/>
    <w:basedOn w:val="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20"/>
      <w:szCs w:val="20"/>
      <w:lang w:val="ro-MD" w:eastAsia="ro-MD"/>
    </w:rPr>
  </w:style>
  <w:style w:type="paragraph" w:customStyle="1" w:styleId="xl131">
    <w:name w:val="xl131"/>
    <w:basedOn w:val="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0"/>
      <w:szCs w:val="20"/>
      <w:lang w:val="ro-MD" w:eastAsia="ro-MD"/>
    </w:rPr>
  </w:style>
  <w:style w:type="paragraph" w:customStyle="1" w:styleId="xl132">
    <w:name w:val="xl132"/>
    <w:basedOn w:val="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0"/>
      <w:szCs w:val="20"/>
      <w:lang w:val="ro-MD" w:eastAsia="ro-MD"/>
    </w:rPr>
  </w:style>
  <w:style w:type="paragraph" w:customStyle="1" w:styleId="xl133">
    <w:name w:val="xl133"/>
    <w:basedOn w:val="1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  <w:lang w:val="ro-MD" w:eastAsia="ro-MD"/>
    </w:rPr>
  </w:style>
  <w:style w:type="paragraph" w:customStyle="1" w:styleId="xl134">
    <w:name w:val="xl134"/>
    <w:basedOn w:val="10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  <w:lang w:val="ro-MD" w:eastAsia="ro-MD"/>
    </w:rPr>
  </w:style>
  <w:style w:type="paragraph" w:customStyle="1" w:styleId="xl135">
    <w:name w:val="xl135"/>
    <w:basedOn w:val="1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  <w:lang w:val="ro-MD" w:eastAsia="ro-MD"/>
    </w:rPr>
  </w:style>
  <w:style w:type="paragraph" w:customStyle="1" w:styleId="xl136">
    <w:name w:val="xl136"/>
    <w:basedOn w:val="10"/>
    <w:pPr>
      <w:spacing w:before="100" w:beforeAutospacing="1" w:after="100" w:afterAutospacing="1"/>
      <w:textAlignment w:val="center"/>
    </w:pPr>
    <w:rPr>
      <w:b/>
      <w:bCs/>
      <w:szCs w:val="24"/>
      <w:lang w:val="ro-MD" w:eastAsia="ro-MD"/>
    </w:rPr>
  </w:style>
  <w:style w:type="paragraph" w:customStyle="1" w:styleId="1f2">
    <w:name w:val="Рецензия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2"/>
      <w:lang w:val="ru-RU"/>
    </w:rPr>
  </w:style>
  <w:style w:type="character" w:customStyle="1" w:styleId="1f3">
    <w:name w:val="Заголовок 1 Знак"/>
    <w:rPr>
      <w:rFonts w:ascii="Calibri Light" w:eastAsia="Times New Roman" w:hAnsi="Calibri Light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  <w:lang w:val="ru-RU" w:eastAsia="en-US"/>
    </w:rPr>
  </w:style>
  <w:style w:type="paragraph" w:customStyle="1" w:styleId="1f4">
    <w:name w:val="Заголовок оглавления1"/>
    <w:basedOn w:val="11"/>
    <w:next w:val="10"/>
    <w:qFormat/>
    <w:pPr>
      <w:keepLines/>
      <w:spacing w:after="0" w:line="259" w:lineRule="auto"/>
      <w:outlineLvl w:val="9"/>
    </w:pPr>
    <w:rPr>
      <w:b w:val="0"/>
      <w:bCs w:val="0"/>
      <w:color w:val="2F5496"/>
      <w:kern w:val="0"/>
      <w:lang w:val="ro-RO" w:eastAsia="ro-RO"/>
    </w:rPr>
  </w:style>
  <w:style w:type="paragraph" w:customStyle="1" w:styleId="1f5">
    <w:name w:val="Текст сноски1"/>
    <w:basedOn w:val="10"/>
    <w:qFormat/>
    <w:rPr>
      <w:sz w:val="20"/>
      <w:szCs w:val="20"/>
      <w:lang w:val="ru-RU"/>
    </w:rPr>
  </w:style>
  <w:style w:type="character" w:customStyle="1" w:styleId="ab">
    <w:name w:val="Текст сноски Знак"/>
    <w:rPr>
      <w:w w:val="100"/>
      <w:position w:val="-1"/>
      <w:effect w:val="none"/>
      <w:vertAlign w:val="baseline"/>
      <w:cs w:val="0"/>
      <w:em w:val="none"/>
      <w:lang w:val="ru-RU" w:eastAsia="en-US"/>
    </w:rPr>
  </w:style>
  <w:style w:type="character" w:customStyle="1" w:styleId="1f6">
    <w:name w:val="Знак сноски1"/>
    <w:qFormat/>
    <w:rPr>
      <w:w w:val="100"/>
      <w:position w:val="-1"/>
      <w:effect w:val="none"/>
      <w:vertAlign w:val="superscript"/>
      <w:cs w:val="0"/>
      <w:em w:val="none"/>
    </w:rPr>
  </w:style>
  <w:style w:type="paragraph" w:styleId="ac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af5">
    <w:name w:val="header"/>
    <w:basedOn w:val="a"/>
    <w:link w:val="1f7"/>
    <w:uiPriority w:val="99"/>
    <w:unhideWhenUsed/>
    <w:rsid w:val="00681444"/>
    <w:pPr>
      <w:tabs>
        <w:tab w:val="center" w:pos="4677"/>
        <w:tab w:val="right" w:pos="9355"/>
      </w:tabs>
    </w:pPr>
  </w:style>
  <w:style w:type="character" w:customStyle="1" w:styleId="1f7">
    <w:name w:val="Верхний колонтитул Знак1"/>
    <w:basedOn w:val="a0"/>
    <w:link w:val="af5"/>
    <w:uiPriority w:val="99"/>
    <w:rsid w:val="00681444"/>
  </w:style>
  <w:style w:type="paragraph" w:styleId="af6">
    <w:name w:val="footer"/>
    <w:basedOn w:val="a"/>
    <w:link w:val="1f8"/>
    <w:uiPriority w:val="99"/>
    <w:unhideWhenUsed/>
    <w:rsid w:val="00681444"/>
    <w:pPr>
      <w:tabs>
        <w:tab w:val="center" w:pos="4677"/>
        <w:tab w:val="right" w:pos="9355"/>
      </w:tabs>
    </w:pPr>
  </w:style>
  <w:style w:type="character" w:customStyle="1" w:styleId="1f8">
    <w:name w:val="Нижний колонтитул Знак1"/>
    <w:basedOn w:val="a0"/>
    <w:link w:val="af6"/>
    <w:uiPriority w:val="99"/>
    <w:rsid w:val="006814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kUs9DOVly24i7wMuG0m4wNJCyg==">CgMxLjA4AHIhMVFrRkM5SlRmemFfWnR3ZjFpeGtTbU1JakhncGxsT1Zw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4</Pages>
  <Words>1484</Words>
  <Characters>8611</Characters>
  <Application>Microsoft Office Word</Application>
  <DocSecurity>0</DocSecurity>
  <Lines>71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apaladi</dc:creator>
  <cp:lastModifiedBy>Violina Lungu</cp:lastModifiedBy>
  <cp:revision>17</cp:revision>
  <dcterms:created xsi:type="dcterms:W3CDTF">2025-07-29T15:45:00Z</dcterms:created>
  <dcterms:modified xsi:type="dcterms:W3CDTF">2025-09-01T07:02:00Z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0x0101003AA85580E31E244299F0AC77212BEDED</vt:lpwstr>
  </property>
</Properties>
</file>