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D8538F" w14:textId="4C56CB9D" w:rsidR="008E4A06" w:rsidRPr="00D64A34" w:rsidRDefault="008E4A06" w:rsidP="008E4A0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bCs/>
          <w:color w:val="000000"/>
          <w:sz w:val="24"/>
          <w:szCs w:val="24"/>
          <w:lang w:val="en-US"/>
        </w:rPr>
      </w:pPr>
      <w:r w:rsidRPr="00D64A34">
        <w:rPr>
          <w:bCs/>
          <w:color w:val="000000"/>
          <w:sz w:val="24"/>
          <w:szCs w:val="24"/>
          <w:lang w:val="en-US"/>
        </w:rPr>
        <w:t>Приложение № 1</w:t>
      </w:r>
    </w:p>
    <w:p w14:paraId="024EA14A" w14:textId="77777777" w:rsidR="008E4A06" w:rsidRPr="00D64A34" w:rsidRDefault="008E4A0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color w:val="000000"/>
          <w:sz w:val="24"/>
          <w:szCs w:val="24"/>
          <w:lang w:val="en-US"/>
        </w:rPr>
      </w:pPr>
    </w:p>
    <w:p w14:paraId="09F16238" w14:textId="4E0A759B" w:rsidR="00532E3C" w:rsidRPr="00D64A34" w:rsidRDefault="00532E3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color w:val="000000"/>
          <w:sz w:val="24"/>
          <w:szCs w:val="24"/>
          <w:lang w:val="ru-RU"/>
        </w:rPr>
      </w:pPr>
      <w:r w:rsidRPr="00D64A34">
        <w:rPr>
          <w:b/>
          <w:color w:val="000000"/>
          <w:sz w:val="24"/>
          <w:szCs w:val="24"/>
          <w:lang w:val="ru-RU"/>
        </w:rPr>
        <w:t xml:space="preserve">Модель оценки гаражей для индивидуального транспорта (за исключением гаражей, расположенных на земельных участках, прилегающих к </w:t>
      </w:r>
      <w:r w:rsidR="00AF4FA8" w:rsidRPr="00D64A34">
        <w:rPr>
          <w:b/>
          <w:color w:val="000000"/>
          <w:sz w:val="24"/>
          <w:szCs w:val="24"/>
          <w:lang w:val="ru-RU"/>
        </w:rPr>
        <w:t>жилым домам, дачным домам</w:t>
      </w:r>
      <w:r w:rsidRPr="00D64A34">
        <w:rPr>
          <w:b/>
          <w:color w:val="000000"/>
          <w:sz w:val="24"/>
          <w:szCs w:val="24"/>
          <w:lang w:val="ru-RU"/>
        </w:rPr>
        <w:t>), гаражей</w:t>
      </w:r>
      <w:r w:rsidR="007351F1" w:rsidRPr="00D64A34">
        <w:rPr>
          <w:b/>
          <w:color w:val="000000"/>
          <w:sz w:val="24"/>
          <w:szCs w:val="24"/>
          <w:lang w:val="ru-RU"/>
        </w:rPr>
        <w:t>,</w:t>
      </w:r>
      <w:r w:rsidRPr="00D64A34">
        <w:rPr>
          <w:b/>
          <w:color w:val="000000"/>
          <w:sz w:val="24"/>
          <w:szCs w:val="24"/>
          <w:lang w:val="ru-RU"/>
        </w:rPr>
        <w:t xml:space="preserve"> находящихся в составе гаражно-строительных кооперативов (ГСК) или ассоциаций собственников гаражей (АСГ), гаражей и мест для парк</w:t>
      </w:r>
      <w:r w:rsidR="007351F1" w:rsidRPr="00D64A34">
        <w:rPr>
          <w:b/>
          <w:color w:val="000000"/>
          <w:sz w:val="24"/>
          <w:szCs w:val="24"/>
          <w:lang w:val="ru-RU"/>
        </w:rPr>
        <w:t>овки</w:t>
      </w:r>
      <w:r w:rsidRPr="00D64A34">
        <w:rPr>
          <w:b/>
          <w:color w:val="000000"/>
          <w:sz w:val="24"/>
          <w:szCs w:val="24"/>
          <w:lang w:val="ru-RU"/>
        </w:rPr>
        <w:t xml:space="preserve"> в составе многоэтажных жилых домов, расположенных во всех населённых пунктах Республики Молдова, в целях налогообложения </w:t>
      </w:r>
    </w:p>
    <w:p w14:paraId="0FEC02BE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  <w:sz w:val="24"/>
          <w:szCs w:val="24"/>
          <w:lang w:val="ru-RU"/>
        </w:rPr>
      </w:pPr>
    </w:p>
    <w:p w14:paraId="6C31FC3A" w14:textId="49498761" w:rsidR="005F6F16" w:rsidRPr="00D64A34" w:rsidRDefault="00532E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В качестве объекта оценки рассматривается:</w:t>
      </w:r>
    </w:p>
    <w:p w14:paraId="54A628AB" w14:textId="72A98177" w:rsidR="005F6F16" w:rsidRPr="00D64A34" w:rsidRDefault="00532E3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 xml:space="preserve">Земельный участок, предназначенный для строительства гаража или земельный участок, прилегающий к гаражам для индивидуального транспорта 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Pr="00D64A34">
        <w:rPr>
          <w:color w:val="000000"/>
          <w:sz w:val="24"/>
          <w:szCs w:val="24"/>
          <w:lang w:val="ru-RU"/>
        </w:rPr>
        <w:t>), гаражам</w:t>
      </w:r>
      <w:r w:rsidR="007351F1" w:rsidRPr="00D64A34">
        <w:rPr>
          <w:color w:val="000000"/>
          <w:sz w:val="24"/>
          <w:szCs w:val="24"/>
          <w:lang w:val="ru-RU"/>
        </w:rPr>
        <w:t>,</w:t>
      </w:r>
      <w:r w:rsidRPr="00D64A34">
        <w:rPr>
          <w:color w:val="000000"/>
          <w:sz w:val="24"/>
          <w:szCs w:val="24"/>
          <w:lang w:val="ru-RU"/>
        </w:rPr>
        <w:t xml:space="preserve"> находящи</w:t>
      </w:r>
      <w:r w:rsidR="00763D53" w:rsidRPr="00D64A34">
        <w:rPr>
          <w:color w:val="000000"/>
          <w:sz w:val="24"/>
          <w:szCs w:val="24"/>
          <w:lang w:val="ru-RU"/>
        </w:rPr>
        <w:t>х</w:t>
      </w:r>
      <w:r w:rsidRPr="00D64A34">
        <w:rPr>
          <w:color w:val="000000"/>
          <w:sz w:val="24"/>
          <w:szCs w:val="24"/>
          <w:lang w:val="ru-RU"/>
        </w:rPr>
        <w:t xml:space="preserve">ся в составе ГСК или АСГ, расположенный во всех населённых пунктах Республики Молдова; </w:t>
      </w:r>
    </w:p>
    <w:p w14:paraId="0572FBAC" w14:textId="6FD285A4" w:rsidR="005F6F16" w:rsidRPr="00D64A34" w:rsidRDefault="003B7E2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 xml:space="preserve">Строение, зарегистрированное в Реестре недвижимого имущества </w:t>
      </w:r>
      <w:r w:rsidR="007B7189" w:rsidRPr="00D64A34">
        <w:rPr>
          <w:color w:val="000000"/>
          <w:sz w:val="24"/>
          <w:szCs w:val="24"/>
          <w:lang w:val="ru-RU"/>
        </w:rPr>
        <w:t xml:space="preserve">с назначением «Гараж», используемое в качестве гаража для индивидуального транспорта </w:t>
      </w:r>
      <w:r w:rsidR="007351F1" w:rsidRPr="00D64A34">
        <w:rPr>
          <w:color w:val="000000"/>
          <w:sz w:val="24"/>
          <w:szCs w:val="24"/>
          <w:lang w:val="ru-RU"/>
        </w:rPr>
        <w:br/>
      </w:r>
      <w:r w:rsidR="007B7189" w:rsidRPr="00D64A34">
        <w:rPr>
          <w:color w:val="000000"/>
          <w:sz w:val="24"/>
          <w:szCs w:val="24"/>
          <w:lang w:val="ru-RU"/>
        </w:rPr>
        <w:t xml:space="preserve">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="007B7189" w:rsidRPr="00D64A34">
        <w:rPr>
          <w:color w:val="000000"/>
          <w:sz w:val="24"/>
          <w:szCs w:val="24"/>
          <w:lang w:val="ru-RU"/>
        </w:rPr>
        <w:t>), гараж</w:t>
      </w:r>
      <w:r w:rsidR="007351F1" w:rsidRPr="00D64A34">
        <w:rPr>
          <w:color w:val="000000"/>
          <w:sz w:val="24"/>
          <w:szCs w:val="24"/>
          <w:lang w:val="ru-RU"/>
        </w:rPr>
        <w:t>,</w:t>
      </w:r>
      <w:r w:rsidR="007B7189" w:rsidRPr="00D64A34">
        <w:rPr>
          <w:color w:val="000000"/>
          <w:sz w:val="24"/>
          <w:szCs w:val="24"/>
          <w:lang w:val="ru-RU"/>
        </w:rPr>
        <w:t xml:space="preserve"> находящийся в составе ГСК или АСГ, расположенное во всех населённых пунктах Республики Молдова; </w:t>
      </w:r>
    </w:p>
    <w:p w14:paraId="272D96E7" w14:textId="7F5DDB8E" w:rsidR="005F6F16" w:rsidRPr="00D64A34" w:rsidRDefault="007B7189" w:rsidP="001929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 xml:space="preserve">Изолированное помещение, зарегистрированное в Реестре недвижимого имущества </w:t>
      </w:r>
      <w:r w:rsidR="0019298F" w:rsidRPr="00D64A34">
        <w:rPr>
          <w:color w:val="000000"/>
          <w:sz w:val="24"/>
          <w:szCs w:val="24"/>
          <w:lang w:val="ru-RU"/>
        </w:rPr>
        <w:t xml:space="preserve">с назначением </w:t>
      </w:r>
      <w:r w:rsidRPr="00D64A34">
        <w:rPr>
          <w:color w:val="000000"/>
          <w:sz w:val="24"/>
          <w:szCs w:val="24"/>
          <w:lang w:val="ru-RU"/>
        </w:rPr>
        <w:t>«нежило</w:t>
      </w:r>
      <w:r w:rsidR="0019298F" w:rsidRPr="00D64A34">
        <w:rPr>
          <w:color w:val="000000"/>
          <w:sz w:val="24"/>
          <w:szCs w:val="24"/>
          <w:lang w:val="ru-RU"/>
        </w:rPr>
        <w:t>е</w:t>
      </w:r>
      <w:r w:rsidRPr="00D64A34">
        <w:rPr>
          <w:color w:val="000000"/>
          <w:sz w:val="24"/>
          <w:szCs w:val="24"/>
          <w:lang w:val="ru-RU"/>
        </w:rPr>
        <w:t xml:space="preserve">», используемое в качестве гаража или места для парковки, расположенное в составе гаражей для индивидуального транспорта </w:t>
      </w:r>
      <w:bookmarkStart w:id="0" w:name="_Hlk205560923"/>
      <w:r w:rsidRPr="00D64A34">
        <w:rPr>
          <w:color w:val="000000"/>
          <w:sz w:val="24"/>
          <w:szCs w:val="24"/>
          <w:lang w:val="ru-RU"/>
        </w:rPr>
        <w:t xml:space="preserve">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Pr="00D64A34">
        <w:rPr>
          <w:color w:val="000000"/>
          <w:sz w:val="24"/>
          <w:szCs w:val="24"/>
          <w:lang w:val="ru-RU"/>
        </w:rPr>
        <w:t>), гараж</w:t>
      </w:r>
      <w:r w:rsidR="0019298F" w:rsidRPr="00D64A34">
        <w:rPr>
          <w:color w:val="000000"/>
          <w:sz w:val="24"/>
          <w:szCs w:val="24"/>
          <w:lang w:val="ru-RU"/>
        </w:rPr>
        <w:t>ей,</w:t>
      </w:r>
      <w:r w:rsidRPr="00D64A34">
        <w:rPr>
          <w:color w:val="000000"/>
          <w:sz w:val="24"/>
          <w:szCs w:val="24"/>
          <w:lang w:val="ru-RU"/>
        </w:rPr>
        <w:t xml:space="preserve"> находящи</w:t>
      </w:r>
      <w:r w:rsidR="0019298F" w:rsidRPr="00D64A34">
        <w:rPr>
          <w:color w:val="000000"/>
          <w:sz w:val="24"/>
          <w:szCs w:val="24"/>
          <w:lang w:val="ru-RU"/>
        </w:rPr>
        <w:t>х</w:t>
      </w:r>
      <w:r w:rsidRPr="00D64A34">
        <w:rPr>
          <w:color w:val="000000"/>
          <w:sz w:val="24"/>
          <w:szCs w:val="24"/>
          <w:lang w:val="ru-RU"/>
        </w:rPr>
        <w:t>ся в составе ГСК или АСГ, многоэтажны</w:t>
      </w:r>
      <w:r w:rsidR="0019298F" w:rsidRPr="00D64A34">
        <w:rPr>
          <w:color w:val="000000"/>
          <w:sz w:val="24"/>
          <w:szCs w:val="24"/>
          <w:lang w:val="ru-RU"/>
        </w:rPr>
        <w:t>х</w:t>
      </w:r>
      <w:r w:rsidRPr="00D64A34">
        <w:rPr>
          <w:color w:val="000000"/>
          <w:sz w:val="24"/>
          <w:szCs w:val="24"/>
          <w:lang w:val="ru-RU"/>
        </w:rPr>
        <w:t xml:space="preserve"> жилы</w:t>
      </w:r>
      <w:r w:rsidR="0019298F" w:rsidRPr="00D64A34">
        <w:rPr>
          <w:color w:val="000000"/>
          <w:sz w:val="24"/>
          <w:szCs w:val="24"/>
          <w:lang w:val="ru-RU"/>
        </w:rPr>
        <w:t>х</w:t>
      </w:r>
      <w:r w:rsidRPr="00D64A34">
        <w:rPr>
          <w:color w:val="000000"/>
          <w:sz w:val="24"/>
          <w:szCs w:val="24"/>
          <w:lang w:val="ru-RU"/>
        </w:rPr>
        <w:t xml:space="preserve"> дома</w:t>
      </w:r>
      <w:r w:rsidR="0019298F" w:rsidRPr="00D64A34">
        <w:rPr>
          <w:color w:val="000000"/>
          <w:sz w:val="24"/>
          <w:szCs w:val="24"/>
          <w:lang w:val="ru-RU"/>
        </w:rPr>
        <w:t xml:space="preserve">х, </w:t>
      </w:r>
      <w:r w:rsidRPr="00D64A34">
        <w:rPr>
          <w:color w:val="000000"/>
          <w:sz w:val="24"/>
          <w:szCs w:val="24"/>
          <w:lang w:val="ru-RU"/>
        </w:rPr>
        <w:t>расположенн</w:t>
      </w:r>
      <w:r w:rsidR="0019298F" w:rsidRPr="00D64A34">
        <w:rPr>
          <w:color w:val="000000"/>
          <w:sz w:val="24"/>
          <w:szCs w:val="24"/>
          <w:lang w:val="ru-RU"/>
        </w:rPr>
        <w:t>ое</w:t>
      </w:r>
      <w:r w:rsidRPr="00D64A34">
        <w:rPr>
          <w:color w:val="000000"/>
          <w:sz w:val="24"/>
          <w:szCs w:val="24"/>
          <w:lang w:val="ru-RU"/>
        </w:rPr>
        <w:t xml:space="preserve"> во всех населённых пунктах Республики Молдова</w:t>
      </w:r>
      <w:r w:rsidR="0019298F" w:rsidRPr="00D64A34">
        <w:rPr>
          <w:color w:val="000000"/>
          <w:sz w:val="24"/>
          <w:szCs w:val="24"/>
          <w:lang w:val="ru-RU"/>
        </w:rPr>
        <w:t>.</w:t>
      </w:r>
    </w:p>
    <w:bookmarkEnd w:id="0"/>
    <w:p w14:paraId="1B02F636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  <w:lang w:val="ru-RU"/>
        </w:rPr>
      </w:pPr>
    </w:p>
    <w:p w14:paraId="5BAC245F" w14:textId="13CAAFAB" w:rsidR="005F6F16" w:rsidRPr="00D64A34" w:rsidRDefault="0019298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Оценённая стоимость земельного участка</w:t>
      </w:r>
      <w:r w:rsidR="0045769D" w:rsidRPr="00D64A34">
        <w:rPr>
          <w:color w:val="000000"/>
          <w:sz w:val="24"/>
          <w:szCs w:val="24"/>
          <w:lang w:val="ru-RU"/>
        </w:rPr>
        <w:t xml:space="preserve">, предназначенного для строительства гаража или земельный участок, прилегающий к гаражам для индивидуального транспорта 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="0045769D" w:rsidRPr="00D64A34">
        <w:rPr>
          <w:color w:val="000000"/>
          <w:sz w:val="24"/>
          <w:szCs w:val="24"/>
          <w:lang w:val="ru-RU"/>
        </w:rPr>
        <w:t>), гаражам находящимся в составе ГСК или АСГ определяется по следующей формуле:</w:t>
      </w:r>
      <w:r w:rsidRPr="00D64A34">
        <w:rPr>
          <w:color w:val="000000"/>
          <w:sz w:val="24"/>
          <w:szCs w:val="24"/>
          <w:lang w:val="ru-RU"/>
        </w:rPr>
        <w:t xml:space="preserve"> </w:t>
      </w:r>
    </w:p>
    <w:p w14:paraId="75FC3789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  <w:lang w:val="ru-RU"/>
        </w:rPr>
      </w:pPr>
    </w:p>
    <w:tbl>
      <w:tblPr>
        <w:tblStyle w:val="a7"/>
        <w:tblW w:w="9529" w:type="dxa"/>
        <w:tblInd w:w="-142" w:type="dxa"/>
        <w:tblLayout w:type="fixed"/>
        <w:tblLook w:val="0000" w:firstRow="0" w:lastRow="0" w:firstColumn="0" w:lastColumn="0" w:noHBand="0" w:noVBand="0"/>
      </w:tblPr>
      <w:tblGrid>
        <w:gridCol w:w="8962"/>
        <w:gridCol w:w="567"/>
      </w:tblGrid>
      <w:tr w:rsidR="005F6F16" w:rsidRPr="00D64A34" w14:paraId="09DB42CA" w14:textId="77777777" w:rsidTr="00A13221">
        <w:tc>
          <w:tcPr>
            <w:tcW w:w="8962" w:type="dxa"/>
            <w:vAlign w:val="center"/>
          </w:tcPr>
          <w:p w14:paraId="67EB799B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V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 xml:space="preserve"> = EXP (Int.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 xml:space="preserve"> TG</w:t>
            </w: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+ KS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 xml:space="preserve"> * Ln(S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) )* KAjC * KTGLoc* KTGZonă</w:t>
            </w:r>
          </w:p>
        </w:tc>
        <w:tc>
          <w:tcPr>
            <w:tcW w:w="567" w:type="dxa"/>
            <w:vAlign w:val="center"/>
          </w:tcPr>
          <w:p w14:paraId="4FA50C72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(1)</w:t>
            </w:r>
          </w:p>
        </w:tc>
      </w:tr>
    </w:tbl>
    <w:p w14:paraId="3B9DFCE6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</w:p>
    <w:p w14:paraId="36FBE244" w14:textId="7B02DBB4" w:rsidR="005F6F16" w:rsidRPr="00D64A34" w:rsidRDefault="0045769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где</w:t>
      </w:r>
      <w:r w:rsidR="006F3F0B" w:rsidRPr="00D64A34">
        <w:rPr>
          <w:color w:val="000000"/>
          <w:sz w:val="24"/>
          <w:szCs w:val="24"/>
          <w:lang w:val="ru-RU"/>
        </w:rPr>
        <w:t>:</w:t>
      </w:r>
      <w:r w:rsidR="006F3F0B" w:rsidRPr="00D64A34">
        <w:rPr>
          <w:color w:val="000000"/>
          <w:sz w:val="24"/>
          <w:szCs w:val="24"/>
          <w:vertAlign w:val="subscript"/>
          <w:lang w:val="ru-RU"/>
        </w:rPr>
        <w:tab/>
      </w:r>
      <w:r w:rsidR="006F3F0B" w:rsidRPr="00D64A34">
        <w:rPr>
          <w:color w:val="000000"/>
          <w:sz w:val="24"/>
          <w:szCs w:val="24"/>
          <w:lang w:val="ru-RU"/>
        </w:rPr>
        <w:t xml:space="preserve"> </w:t>
      </w:r>
    </w:p>
    <w:tbl>
      <w:tblPr>
        <w:tblStyle w:val="a8"/>
        <w:tblW w:w="9571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:rsidRPr="00D64A34" w14:paraId="3AAED3E7" w14:textId="77777777">
        <w:trPr>
          <w:trHeight w:val="315"/>
        </w:trPr>
        <w:tc>
          <w:tcPr>
            <w:tcW w:w="1384" w:type="dxa"/>
          </w:tcPr>
          <w:p w14:paraId="782414F4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V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</w:p>
        </w:tc>
        <w:tc>
          <w:tcPr>
            <w:tcW w:w="8187" w:type="dxa"/>
          </w:tcPr>
          <w:p w14:paraId="04C5F803" w14:textId="77777777" w:rsidR="007351F1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" w:hanging="39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45769D" w:rsidRPr="00D64A34">
              <w:rPr>
                <w:color w:val="000000"/>
                <w:sz w:val="24"/>
                <w:szCs w:val="24"/>
                <w:lang w:val="ru-RU"/>
              </w:rPr>
              <w:t>оценённая стоимость земельного участка, лей.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  <w:p w14:paraId="1B44D512" w14:textId="51BAC28A" w:rsidR="005F6F16" w:rsidRPr="00D64A34" w:rsidRDefault="004C2A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" w:hanging="39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Земельным участком считается часть территории с замкнутыми границами, площадь, местоположение и характеристики которо</w:t>
            </w:r>
            <w:r w:rsidR="007351F1" w:rsidRPr="00D64A34">
              <w:rPr>
                <w:color w:val="000000"/>
                <w:sz w:val="24"/>
                <w:szCs w:val="24"/>
                <w:lang w:val="ru-RU"/>
              </w:rPr>
              <w:t>й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отражены в кадастре недвижимого имущества, </w:t>
            </w:r>
            <w:r w:rsidR="004174BC" w:rsidRPr="00D64A34">
              <w:rPr>
                <w:color w:val="000000"/>
                <w:sz w:val="24"/>
                <w:szCs w:val="24"/>
                <w:lang w:val="ru-RU"/>
              </w:rPr>
              <w:t>внесённый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в </w:t>
            </w:r>
            <w:r w:rsidR="004174BC" w:rsidRPr="00D64A34">
              <w:rPr>
                <w:color w:val="000000"/>
                <w:sz w:val="24"/>
                <w:szCs w:val="24"/>
                <w:lang w:val="ru-RU"/>
              </w:rPr>
              <w:t>раздел-приложение Реестра недвижимого имущества с типом использования «Земельный участок под гаражи»;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5F6F16" w:rsidRPr="00D64A34" w14:paraId="76A4218D" w14:textId="77777777">
        <w:trPr>
          <w:trHeight w:val="315"/>
        </w:trPr>
        <w:tc>
          <w:tcPr>
            <w:tcW w:w="1384" w:type="dxa"/>
          </w:tcPr>
          <w:p w14:paraId="60041FE1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Int.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</w:p>
        </w:tc>
        <w:tc>
          <w:tcPr>
            <w:tcW w:w="8187" w:type="dxa"/>
          </w:tcPr>
          <w:p w14:paraId="1947E836" w14:textId="6E482121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4174BC" w:rsidRPr="00D64A34">
              <w:rPr>
                <w:color w:val="000000"/>
                <w:sz w:val="24"/>
                <w:szCs w:val="24"/>
                <w:lang w:val="ru-RU"/>
              </w:rPr>
              <w:t xml:space="preserve">постоянная уравнения регрессии.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>Представляет собой свободный (постоянный) член модели оценки в целях налогообложения;</w:t>
            </w:r>
          </w:p>
        </w:tc>
      </w:tr>
      <w:tr w:rsidR="005F6F16" w:rsidRPr="00D64A34" w14:paraId="2F9FB213" w14:textId="77777777">
        <w:trPr>
          <w:trHeight w:val="315"/>
        </w:trPr>
        <w:tc>
          <w:tcPr>
            <w:tcW w:w="1384" w:type="dxa"/>
          </w:tcPr>
          <w:p w14:paraId="11A8186F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lastRenderedPageBreak/>
              <w:t>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</w:p>
        </w:tc>
        <w:tc>
          <w:tcPr>
            <w:tcW w:w="8187" w:type="dxa"/>
          </w:tcPr>
          <w:p w14:paraId="78BE17B0" w14:textId="146B2EC9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 xml:space="preserve">площадь земельного участка, переведённая в квадратные метры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br/>
              <w:t>(с точностью до 1,0);</w:t>
            </w:r>
          </w:p>
        </w:tc>
      </w:tr>
      <w:tr w:rsidR="005F6F16" w:rsidRPr="00D64A34" w14:paraId="4AA6EE8D" w14:textId="77777777">
        <w:trPr>
          <w:trHeight w:val="315"/>
        </w:trPr>
        <w:tc>
          <w:tcPr>
            <w:tcW w:w="1384" w:type="dxa"/>
          </w:tcPr>
          <w:p w14:paraId="1C7F558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TG</w:t>
            </w:r>
          </w:p>
        </w:tc>
        <w:tc>
          <w:tcPr>
            <w:tcW w:w="8187" w:type="dxa"/>
          </w:tcPr>
          <w:p w14:paraId="5C01C31C" w14:textId="57CDB52D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«площадь земельного участка»;</w:t>
            </w:r>
            <w:r w:rsidR="00C43F9B" w:rsidRPr="00D64A34">
              <w:rPr>
                <w:sz w:val="24"/>
                <w:szCs w:val="24"/>
                <w:lang w:val="ru-RU" w:eastAsia="ru-RU"/>
              </w:rPr>
              <w:t xml:space="preserve"> </w:t>
            </w:r>
          </w:p>
        </w:tc>
      </w:tr>
      <w:tr w:rsidR="005F6F16" w:rsidRPr="00D64A34" w14:paraId="682B41E2" w14:textId="77777777">
        <w:trPr>
          <w:trHeight w:val="315"/>
        </w:trPr>
        <w:tc>
          <w:tcPr>
            <w:tcW w:w="1384" w:type="dxa"/>
          </w:tcPr>
          <w:p w14:paraId="011A67D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KAjC</w:t>
            </w:r>
          </w:p>
        </w:tc>
        <w:tc>
          <w:tcPr>
            <w:tcW w:w="8187" w:type="dxa"/>
          </w:tcPr>
          <w:p w14:paraId="6D0EB464" w14:textId="31DCA06B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общих поправок (определяется по формуле 4 из пункта 5); </w:t>
            </w:r>
          </w:p>
        </w:tc>
      </w:tr>
      <w:tr w:rsidR="005F6F16" w:rsidRPr="00D64A34" w14:paraId="43F7EE7D" w14:textId="77777777">
        <w:trPr>
          <w:trHeight w:val="315"/>
        </w:trPr>
        <w:tc>
          <w:tcPr>
            <w:tcW w:w="1384" w:type="dxa"/>
            <w:vAlign w:val="center"/>
          </w:tcPr>
          <w:p w14:paraId="5E8B7383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KTGLoc</w:t>
            </w:r>
          </w:p>
        </w:tc>
        <w:tc>
          <w:tcPr>
            <w:tcW w:w="8187" w:type="dxa"/>
          </w:tcPr>
          <w:p w14:paraId="26DB3E76" w14:textId="67ECBC97" w:rsidR="005F6F16" w:rsidRPr="00D64A34" w:rsidRDefault="006F3F0B" w:rsidP="001166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«населённый пункт». Данный стоимостной фактор определяется в соответствии с приложением 2 настоящего приказа. </w:t>
            </w:r>
          </w:p>
        </w:tc>
      </w:tr>
      <w:tr w:rsidR="005F6F16" w:rsidRPr="00D64A34" w14:paraId="068335F3" w14:textId="77777777">
        <w:trPr>
          <w:trHeight w:val="315"/>
        </w:trPr>
        <w:tc>
          <w:tcPr>
            <w:tcW w:w="1384" w:type="dxa"/>
            <w:vAlign w:val="center"/>
          </w:tcPr>
          <w:p w14:paraId="1984FF0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KTGZonă</w:t>
            </w:r>
          </w:p>
        </w:tc>
        <w:tc>
          <w:tcPr>
            <w:tcW w:w="8187" w:type="dxa"/>
          </w:tcPr>
          <w:p w14:paraId="1E38DD01" w14:textId="0AED3102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C43F9B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«стоимостная зона». Данный стоимостной фактор определяется в соответствии с приложением 2 настоящего приказа. </w:t>
            </w:r>
          </w:p>
        </w:tc>
      </w:tr>
    </w:tbl>
    <w:p w14:paraId="72B962CC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  <w:lang w:val="ru-RU"/>
        </w:rPr>
      </w:pPr>
    </w:p>
    <w:p w14:paraId="4D101CCD" w14:textId="6A41C484" w:rsidR="005F6F16" w:rsidRPr="00D64A34" w:rsidRDefault="001166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Оценённая стоимость</w:t>
      </w:r>
      <w:r w:rsidR="00B96245" w:rsidRPr="00D64A34">
        <w:rPr>
          <w:color w:val="000000"/>
          <w:sz w:val="24"/>
          <w:szCs w:val="24"/>
          <w:lang w:val="ru-RU"/>
        </w:rPr>
        <w:t xml:space="preserve"> строения, зарегистрированного в Реестре недвижимого имущества с </w:t>
      </w:r>
      <w:r w:rsidR="00B95040" w:rsidRPr="00D64A34">
        <w:rPr>
          <w:color w:val="000000"/>
          <w:sz w:val="24"/>
          <w:szCs w:val="24"/>
          <w:lang w:val="ru-RU"/>
        </w:rPr>
        <w:t>назначением «</w:t>
      </w:r>
      <w:r w:rsidR="00F90C8F" w:rsidRPr="00D64A34">
        <w:rPr>
          <w:color w:val="000000"/>
          <w:sz w:val="24"/>
          <w:szCs w:val="24"/>
          <w:lang w:val="ru-RU"/>
        </w:rPr>
        <w:t>г</w:t>
      </w:r>
      <w:r w:rsidR="00B95040" w:rsidRPr="00D64A34">
        <w:rPr>
          <w:color w:val="000000"/>
          <w:sz w:val="24"/>
          <w:szCs w:val="24"/>
          <w:lang w:val="ru-RU"/>
        </w:rPr>
        <w:t xml:space="preserve">араж», используемого в качестве гаража для индивидуального транспорта 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="00B95040" w:rsidRPr="00D64A34">
        <w:rPr>
          <w:color w:val="000000"/>
          <w:sz w:val="24"/>
          <w:szCs w:val="24"/>
          <w:lang w:val="ru-RU"/>
        </w:rPr>
        <w:t>), гаража находящегося в составе ГСК или АСГ определяется по следующей формуле:</w:t>
      </w:r>
    </w:p>
    <w:tbl>
      <w:tblPr>
        <w:tblStyle w:val="a9"/>
        <w:tblW w:w="9810" w:type="dxa"/>
        <w:tblInd w:w="-270" w:type="dxa"/>
        <w:tblLayout w:type="fixed"/>
        <w:tblLook w:val="0000" w:firstRow="0" w:lastRow="0" w:firstColumn="0" w:lastColumn="0" w:noHBand="0" w:noVBand="0"/>
      </w:tblPr>
      <w:tblGrid>
        <w:gridCol w:w="9000"/>
        <w:gridCol w:w="810"/>
      </w:tblGrid>
      <w:tr w:rsidR="005F6F16" w:rsidRPr="00D64A34" w14:paraId="6254465E" w14:textId="77777777" w:rsidTr="00A13221">
        <w:trPr>
          <w:trHeight w:val="623"/>
        </w:trPr>
        <w:tc>
          <w:tcPr>
            <w:tcW w:w="9000" w:type="dxa"/>
            <w:vAlign w:val="center"/>
          </w:tcPr>
          <w:p w14:paraId="7E2DC580" w14:textId="77777777" w:rsidR="005F6F16" w:rsidRPr="00D64A34" w:rsidRDefault="005F6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  <w:p w14:paraId="3CFEC852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VCG = EXP[(SInt+K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en-US"/>
              </w:rPr>
              <w:t>S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*Ln(S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en-US"/>
              </w:rPr>
              <w:t>ext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)) + (AInt.+ A*KA + 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en-US"/>
              </w:rPr>
              <w:t>2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*KA2 + 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en-US"/>
              </w:rPr>
              <w:t>3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*KA3) + KMP + KST + KAC + KSB + KMA + KAN] * KAjC * GDF * KCGLoc* KCGZonă</w:t>
            </w:r>
          </w:p>
        </w:tc>
        <w:tc>
          <w:tcPr>
            <w:tcW w:w="810" w:type="dxa"/>
            <w:vAlign w:val="center"/>
          </w:tcPr>
          <w:p w14:paraId="1557BF58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(2)</w:t>
            </w:r>
          </w:p>
        </w:tc>
      </w:tr>
    </w:tbl>
    <w:p w14:paraId="1CC99C7E" w14:textId="18731A13" w:rsidR="005F6F16" w:rsidRPr="00D64A34" w:rsidRDefault="000A74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где</w:t>
      </w:r>
      <w:r w:rsidR="006F3F0B" w:rsidRPr="00D64A34">
        <w:rPr>
          <w:color w:val="000000"/>
          <w:sz w:val="24"/>
          <w:szCs w:val="24"/>
          <w:lang w:val="ru-RU"/>
        </w:rPr>
        <w:t>:</w:t>
      </w:r>
    </w:p>
    <w:tbl>
      <w:tblPr>
        <w:tblStyle w:val="aa"/>
        <w:tblpPr w:leftFromText="180" w:rightFromText="180" w:vertAnchor="text" w:tblpY="1"/>
        <w:tblW w:w="957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:rsidRPr="00D64A34" w14:paraId="5432A1C9" w14:textId="77777777">
        <w:tc>
          <w:tcPr>
            <w:tcW w:w="1384" w:type="dxa"/>
          </w:tcPr>
          <w:p w14:paraId="7D855B9F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VCG</w:t>
            </w:r>
          </w:p>
        </w:tc>
        <w:tc>
          <w:tcPr>
            <w:tcW w:w="8187" w:type="dxa"/>
          </w:tcPr>
          <w:p w14:paraId="4FF2EAEB" w14:textId="77777777" w:rsidR="007351F1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 xml:space="preserve">оценённая стоимость строения, лей. </w:t>
            </w:r>
          </w:p>
          <w:p w14:paraId="0018D867" w14:textId="061FF477" w:rsidR="005F6F16" w:rsidRPr="00D64A34" w:rsidRDefault="00F90C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Гаражом считается строение, зарегистрированное в Реестре недвижимого имущества с назначением «гараж» используемого в качестве гаража для индивидуального транспорта (за исключением гаражей, расположенных на земельных участках, прилегающих к </w:t>
            </w:r>
            <w:r w:rsidR="00AF4FA8" w:rsidRPr="00D64A34">
              <w:rPr>
                <w:color w:val="000000"/>
                <w:sz w:val="24"/>
                <w:szCs w:val="24"/>
                <w:lang w:val="ru-RU"/>
              </w:rPr>
              <w:t>жилым домам, дачным домам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>), гаража находящегося в составе ГСК или АСГ, расположенного во всех населённых пунктах Республики Молдова;</w:t>
            </w:r>
          </w:p>
        </w:tc>
      </w:tr>
      <w:tr w:rsidR="005F6F16" w:rsidRPr="00D64A34" w14:paraId="1C642531" w14:textId="77777777">
        <w:tc>
          <w:tcPr>
            <w:tcW w:w="1384" w:type="dxa"/>
          </w:tcPr>
          <w:p w14:paraId="357588F8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SInt.</w:t>
            </w:r>
          </w:p>
        </w:tc>
        <w:tc>
          <w:tcPr>
            <w:tcW w:w="8187" w:type="dxa"/>
          </w:tcPr>
          <w:p w14:paraId="79145740" w14:textId="3D86180E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>постоянная уравнения регрессии стоимостного фактора «общая внешняя площадь»;</w:t>
            </w:r>
          </w:p>
        </w:tc>
      </w:tr>
      <w:tr w:rsidR="005F6F16" w:rsidRPr="00D64A34" w14:paraId="45F237C2" w14:textId="77777777">
        <w:tc>
          <w:tcPr>
            <w:tcW w:w="1384" w:type="dxa"/>
          </w:tcPr>
          <w:p w14:paraId="48F394D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ext</w:t>
            </w:r>
          </w:p>
        </w:tc>
        <w:tc>
          <w:tcPr>
            <w:tcW w:w="8187" w:type="dxa"/>
          </w:tcPr>
          <w:p w14:paraId="65A61C2B" w14:textId="2EFB8A76" w:rsidR="00F90C8F" w:rsidRPr="00D64A34" w:rsidRDefault="006F3F0B" w:rsidP="00F90C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 xml:space="preserve"> общая внешняя площадь строения, кв. м. </w:t>
            </w:r>
          </w:p>
          <w:p w14:paraId="43A2570C" w14:textId="41B9FB12" w:rsidR="005F6F16" w:rsidRPr="00D64A34" w:rsidRDefault="00F90C8F" w:rsidP="00F90C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Общая внешняя площадь – площадь, рассчитанная на основе измерений, выполненных по внешнему контуру наружных стен (над цоколем) строения. Общая внешняя площадь включает в себя сумму наружных площадей каждого наземного этажа. В общую внешнюю площадь не включают площадь подвала, полуподвала, мансарды, пристроек.</w:t>
            </w:r>
          </w:p>
        </w:tc>
      </w:tr>
      <w:tr w:rsidR="005F6F16" w:rsidRPr="00D64A34" w14:paraId="7851E01F" w14:textId="77777777">
        <w:tc>
          <w:tcPr>
            <w:tcW w:w="1384" w:type="dxa"/>
          </w:tcPr>
          <w:p w14:paraId="7851E37E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vertAlign w:val="subscript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s</w:t>
            </w:r>
          </w:p>
        </w:tc>
        <w:tc>
          <w:tcPr>
            <w:tcW w:w="8187" w:type="dxa"/>
          </w:tcPr>
          <w:p w14:paraId="789146B1" w14:textId="54313492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«общая внешняя площадь»; </w:t>
            </w:r>
          </w:p>
        </w:tc>
      </w:tr>
      <w:tr w:rsidR="005F6F16" w:rsidRPr="00D64A34" w14:paraId="3652DCCE" w14:textId="77777777">
        <w:tc>
          <w:tcPr>
            <w:tcW w:w="1384" w:type="dxa"/>
          </w:tcPr>
          <w:p w14:paraId="780FEDC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AInt.</w:t>
            </w:r>
          </w:p>
        </w:tc>
        <w:tc>
          <w:tcPr>
            <w:tcW w:w="8187" w:type="dxa"/>
          </w:tcPr>
          <w:p w14:paraId="162220D9" w14:textId="572CB88E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>постоянная уравнения регрессии стоимостного фактора «хронологический возраст»;</w:t>
            </w:r>
          </w:p>
        </w:tc>
      </w:tr>
      <w:tr w:rsidR="005F6F16" w:rsidRPr="00D64A34" w14:paraId="61C8F94F" w14:textId="77777777">
        <w:tc>
          <w:tcPr>
            <w:tcW w:w="1384" w:type="dxa"/>
          </w:tcPr>
          <w:p w14:paraId="23ED989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</w:t>
            </w:r>
          </w:p>
        </w:tc>
        <w:tc>
          <w:tcPr>
            <w:tcW w:w="8187" w:type="dxa"/>
          </w:tcPr>
          <w:p w14:paraId="3866DA02" w14:textId="3E075DF4" w:rsidR="00F90C8F" w:rsidRPr="00D64A34" w:rsidRDefault="006F3F0B" w:rsidP="00F90C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sz w:val="24"/>
                <w:szCs w:val="24"/>
                <w:lang w:val="ru-RU"/>
              </w:rPr>
              <w:t xml:space="preserve">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 xml:space="preserve">хронологический возраст, лет (с точностью 1,0). </w:t>
            </w:r>
          </w:p>
          <w:p w14:paraId="6D048757" w14:textId="59BB3648" w:rsidR="005F6F16" w:rsidRPr="00D64A34" w:rsidRDefault="00F90C8F" w:rsidP="00F90C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Хронологический возраст рассчитывается как разница между годом выполнения массовой оценки / переоценки и годом постройки / сдачи в эксплуатацию строения; </w:t>
            </w:r>
          </w:p>
        </w:tc>
      </w:tr>
      <w:tr w:rsidR="005F6F16" w:rsidRPr="00D64A34" w14:paraId="77926160" w14:textId="77777777">
        <w:tc>
          <w:tcPr>
            <w:tcW w:w="1384" w:type="dxa"/>
          </w:tcPr>
          <w:p w14:paraId="76112A55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</w:t>
            </w:r>
          </w:p>
        </w:tc>
        <w:tc>
          <w:tcPr>
            <w:tcW w:w="8187" w:type="dxa"/>
          </w:tcPr>
          <w:p w14:paraId="0B91E888" w14:textId="40A85EED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F90C8F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«хронологический возраст»; </w:t>
            </w:r>
          </w:p>
        </w:tc>
      </w:tr>
      <w:tr w:rsidR="005F6F16" w:rsidRPr="00D64A34" w14:paraId="70C827EB" w14:textId="77777777">
        <w:tc>
          <w:tcPr>
            <w:tcW w:w="1384" w:type="dxa"/>
          </w:tcPr>
          <w:p w14:paraId="45AE9404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ru-RU"/>
              </w:rPr>
              <w:t>2</w:t>
            </w:r>
          </w:p>
        </w:tc>
        <w:tc>
          <w:tcPr>
            <w:tcW w:w="8187" w:type="dxa"/>
          </w:tcPr>
          <w:p w14:paraId="557125E8" w14:textId="0E8E098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 квадратичная функция стоимостного фактора «хронологический возраст»; </w:t>
            </w:r>
          </w:p>
        </w:tc>
      </w:tr>
      <w:tr w:rsidR="005F6F16" w:rsidRPr="00D64A34" w14:paraId="04215232" w14:textId="77777777">
        <w:tc>
          <w:tcPr>
            <w:tcW w:w="1384" w:type="dxa"/>
          </w:tcPr>
          <w:p w14:paraId="49B05F20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KA2</w:t>
            </w:r>
          </w:p>
        </w:tc>
        <w:tc>
          <w:tcPr>
            <w:tcW w:w="8187" w:type="dxa"/>
          </w:tcPr>
          <w:p w14:paraId="0E3E391A" w14:textId="1A27323C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«хронологический возраст» в составе квадратичной функции; </w:t>
            </w:r>
          </w:p>
        </w:tc>
      </w:tr>
      <w:tr w:rsidR="005F6F16" w:rsidRPr="00D64A34" w14:paraId="7535FCC4" w14:textId="77777777">
        <w:tc>
          <w:tcPr>
            <w:tcW w:w="1384" w:type="dxa"/>
          </w:tcPr>
          <w:p w14:paraId="0D5B010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lastRenderedPageBreak/>
              <w:t>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ru-RU"/>
              </w:rPr>
              <w:t>3</w:t>
            </w:r>
          </w:p>
        </w:tc>
        <w:tc>
          <w:tcPr>
            <w:tcW w:w="8187" w:type="dxa"/>
          </w:tcPr>
          <w:p w14:paraId="77438AEF" w14:textId="763D1C88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 кубическая функция стоимостного фактора «хронологический возраст»;</w:t>
            </w:r>
          </w:p>
        </w:tc>
      </w:tr>
      <w:tr w:rsidR="005F6F16" w:rsidRPr="00D64A34" w14:paraId="03E776DD" w14:textId="77777777">
        <w:tc>
          <w:tcPr>
            <w:tcW w:w="1384" w:type="dxa"/>
          </w:tcPr>
          <w:p w14:paraId="332ED47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KA3</w:t>
            </w:r>
          </w:p>
        </w:tc>
        <w:tc>
          <w:tcPr>
            <w:tcW w:w="8187" w:type="dxa"/>
          </w:tcPr>
          <w:p w14:paraId="269A2E1B" w14:textId="69B1155F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«хронологический возраст» в составе кубической функции;</w:t>
            </w:r>
          </w:p>
        </w:tc>
      </w:tr>
    </w:tbl>
    <w:p w14:paraId="22CDDB89" w14:textId="77777777" w:rsidR="005D01D1" w:rsidRPr="00D64A34" w:rsidRDefault="005D01D1">
      <w:pPr>
        <w:rPr>
          <w:sz w:val="24"/>
          <w:szCs w:val="24"/>
          <w:lang w:val="ru-RU"/>
        </w:rPr>
      </w:pPr>
    </w:p>
    <w:tbl>
      <w:tblPr>
        <w:tblStyle w:val="aa"/>
        <w:tblpPr w:leftFromText="180" w:rightFromText="180" w:vertAnchor="text" w:tblpY="1"/>
        <w:tblW w:w="957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:rsidRPr="00D64A34" w14:paraId="19C12249" w14:textId="77777777">
        <w:tc>
          <w:tcPr>
            <w:tcW w:w="1384" w:type="dxa"/>
          </w:tcPr>
          <w:p w14:paraId="61C7A07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KMP</w:t>
            </w:r>
          </w:p>
        </w:tc>
        <w:tc>
          <w:tcPr>
            <w:tcW w:w="8187" w:type="dxa"/>
          </w:tcPr>
          <w:p w14:paraId="04F34D45" w14:textId="3CE5141A" w:rsidR="005D01D1" w:rsidRPr="00D64A34" w:rsidRDefault="006F3F0B" w:rsidP="005D01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5D01D1" w:rsidRPr="00D64A34">
              <w:rPr>
                <w:sz w:val="24"/>
                <w:szCs w:val="24"/>
                <w:lang w:val="ru-RU"/>
              </w:rPr>
              <w:t xml:space="preserve"> 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«материал стен». </w:t>
            </w:r>
          </w:p>
          <w:p w14:paraId="426437E5" w14:textId="04E81035" w:rsidR="005F6F16" w:rsidRPr="00D64A34" w:rsidRDefault="005D01D1" w:rsidP="005D01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Материал стен представляет собой преобладающий вид материала наружных стен строения;</w:t>
            </w:r>
          </w:p>
        </w:tc>
      </w:tr>
      <w:tr w:rsidR="005F6F16" w:rsidRPr="00D64A34" w14:paraId="50598F9E" w14:textId="77777777">
        <w:tc>
          <w:tcPr>
            <w:tcW w:w="1384" w:type="dxa"/>
          </w:tcPr>
          <w:p w14:paraId="214D190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KST</w:t>
            </w:r>
          </w:p>
        </w:tc>
        <w:tc>
          <w:tcPr>
            <w:tcW w:w="8187" w:type="dxa"/>
          </w:tcPr>
          <w:p w14:paraId="25C6A2A0" w14:textId="4BA159DC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«техническое состояние строения»;</w:t>
            </w:r>
          </w:p>
        </w:tc>
      </w:tr>
      <w:tr w:rsidR="005F6F16" w:rsidRPr="00D64A34" w14:paraId="36B0B74E" w14:textId="77777777">
        <w:tc>
          <w:tcPr>
            <w:tcW w:w="1384" w:type="dxa"/>
          </w:tcPr>
          <w:p w14:paraId="16E782C8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KAC</w:t>
            </w:r>
          </w:p>
        </w:tc>
        <w:tc>
          <w:tcPr>
            <w:tcW w:w="8187" w:type="dxa"/>
          </w:tcPr>
          <w:p w14:paraId="5FDA81AF" w14:textId="1A00AC42" w:rsidR="005D01D1" w:rsidRPr="00D64A34" w:rsidRDefault="006F3F0B" w:rsidP="005D01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«материал кровли».</w:t>
            </w:r>
          </w:p>
          <w:p w14:paraId="4A90F917" w14:textId="26DD17E0" w:rsidR="005F6F16" w:rsidRPr="00D64A34" w:rsidRDefault="005D01D1" w:rsidP="005D01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Материал кровли представляет собой преобладающий вид материала кровли строения; </w:t>
            </w:r>
          </w:p>
        </w:tc>
      </w:tr>
      <w:tr w:rsidR="005F6F16" w:rsidRPr="00D64A34" w14:paraId="5F6CB6CF" w14:textId="77777777">
        <w:tc>
          <w:tcPr>
            <w:tcW w:w="1384" w:type="dxa"/>
          </w:tcPr>
          <w:p w14:paraId="3474FDE8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KSB</w:t>
            </w:r>
          </w:p>
        </w:tc>
        <w:tc>
          <w:tcPr>
            <w:tcW w:w="8187" w:type="dxa"/>
          </w:tcPr>
          <w:p w14:paraId="073D8D91" w14:textId="0D787CE5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подвала»; </w:t>
            </w:r>
          </w:p>
        </w:tc>
      </w:tr>
      <w:tr w:rsidR="005F6F16" w:rsidRPr="00D64A34" w14:paraId="605571BD" w14:textId="77777777">
        <w:tc>
          <w:tcPr>
            <w:tcW w:w="1384" w:type="dxa"/>
          </w:tcPr>
          <w:p w14:paraId="68AE19CF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KMA</w:t>
            </w:r>
          </w:p>
        </w:tc>
        <w:tc>
          <w:tcPr>
            <w:tcW w:w="8187" w:type="dxa"/>
          </w:tcPr>
          <w:p w14:paraId="7A2108A4" w14:textId="09E561BD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мансарды»; </w:t>
            </w:r>
          </w:p>
        </w:tc>
      </w:tr>
      <w:tr w:rsidR="005F6F16" w:rsidRPr="00D64A34" w14:paraId="1AB9553B" w14:textId="77777777">
        <w:tc>
          <w:tcPr>
            <w:tcW w:w="1384" w:type="dxa"/>
          </w:tcPr>
          <w:p w14:paraId="48F94AB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KAN</w:t>
            </w:r>
          </w:p>
        </w:tc>
        <w:tc>
          <w:tcPr>
            <w:tcW w:w="8187" w:type="dxa"/>
          </w:tcPr>
          <w:p w14:paraId="1EB4D76E" w14:textId="3FE33EB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пристройки»; </w:t>
            </w:r>
          </w:p>
        </w:tc>
      </w:tr>
      <w:tr w:rsidR="005F6F16" w:rsidRPr="00D64A34" w14:paraId="13304CFD" w14:textId="77777777">
        <w:tc>
          <w:tcPr>
            <w:tcW w:w="1384" w:type="dxa"/>
          </w:tcPr>
          <w:p w14:paraId="530769B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GDF</w:t>
            </w:r>
          </w:p>
        </w:tc>
        <w:tc>
          <w:tcPr>
            <w:tcW w:w="8187" w:type="dxa"/>
          </w:tcPr>
          <w:p w14:paraId="5E703F11" w14:textId="0BE9CF05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коэффициент, отражающий степень готовности строения (с точностью 0,01); </w:t>
            </w:r>
          </w:p>
        </w:tc>
      </w:tr>
      <w:tr w:rsidR="005F6F16" w:rsidRPr="00D64A34" w14:paraId="7C42636C" w14:textId="77777777">
        <w:tc>
          <w:tcPr>
            <w:tcW w:w="1384" w:type="dxa"/>
          </w:tcPr>
          <w:p w14:paraId="3F064945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KAjC</w:t>
            </w:r>
          </w:p>
        </w:tc>
        <w:tc>
          <w:tcPr>
            <w:tcW w:w="8187" w:type="dxa"/>
          </w:tcPr>
          <w:p w14:paraId="6F35C138" w14:textId="23B7B2CF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>коэффициент общих поправок (определяется согласно формуле 4 из пункта 5);</w:t>
            </w:r>
          </w:p>
        </w:tc>
      </w:tr>
      <w:tr w:rsidR="005F6F16" w:rsidRPr="00D64A34" w14:paraId="4F867B95" w14:textId="77777777">
        <w:tc>
          <w:tcPr>
            <w:tcW w:w="1384" w:type="dxa"/>
          </w:tcPr>
          <w:p w14:paraId="19ED1D9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KCGLoc</w:t>
            </w:r>
          </w:p>
        </w:tc>
        <w:tc>
          <w:tcPr>
            <w:tcW w:w="8187" w:type="dxa"/>
          </w:tcPr>
          <w:p w14:paraId="389537B2" w14:textId="5EF2D263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«населённый пункт». Данный стоимостной фактор определяется в соответствии с приложением 2 настоящего приказа.</w:t>
            </w:r>
          </w:p>
        </w:tc>
      </w:tr>
      <w:tr w:rsidR="005F6F16" w:rsidRPr="00D64A34" w14:paraId="3DC0CB40" w14:textId="77777777">
        <w:tc>
          <w:tcPr>
            <w:tcW w:w="1384" w:type="dxa"/>
          </w:tcPr>
          <w:p w14:paraId="753FEDC0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KCGZonă</w:t>
            </w:r>
          </w:p>
        </w:tc>
        <w:tc>
          <w:tcPr>
            <w:tcW w:w="8187" w:type="dxa"/>
          </w:tcPr>
          <w:p w14:paraId="3090CACC" w14:textId="2076A8B4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5D01D1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«стоимостная зона». Данный стоимостной фактор определяется в соответствии с приложением 2 настоящего приказа. </w:t>
            </w:r>
          </w:p>
        </w:tc>
      </w:tr>
    </w:tbl>
    <w:p w14:paraId="2842399B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  <w:sectPr w:rsidR="005F6F16" w:rsidRPr="00D64A34" w:rsidSect="006F3F0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134" w:right="964" w:bottom="1134" w:left="1814" w:header="709" w:footer="709" w:gutter="0"/>
          <w:pgNumType w:start="1"/>
          <w:cols w:space="720"/>
          <w:titlePg/>
        </w:sectPr>
      </w:pPr>
    </w:p>
    <w:p w14:paraId="0FA8C39B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</w:p>
    <w:p w14:paraId="5864D20C" w14:textId="6E0C000C" w:rsidR="005F6F16" w:rsidRPr="00D64A34" w:rsidRDefault="005B70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Оценённая стоимость изолированного помещения</w:t>
      </w:r>
      <w:r w:rsidR="004450B8" w:rsidRPr="00D64A34">
        <w:rPr>
          <w:color w:val="000000"/>
          <w:sz w:val="24"/>
          <w:szCs w:val="24"/>
          <w:lang w:val="ru-RU"/>
        </w:rPr>
        <w:t>,</w:t>
      </w:r>
      <w:r w:rsidRPr="00D64A34">
        <w:rPr>
          <w:color w:val="000000"/>
          <w:sz w:val="24"/>
          <w:szCs w:val="24"/>
          <w:lang w:val="ru-RU"/>
        </w:rPr>
        <w:t xml:space="preserve"> зарегистрированного в Реестре недвижимого имущества с назначением «нежилое»</w:t>
      </w:r>
      <w:r w:rsidR="00BA4A88" w:rsidRPr="00D64A34">
        <w:rPr>
          <w:color w:val="000000"/>
          <w:sz w:val="24"/>
          <w:szCs w:val="24"/>
          <w:lang w:val="ru-RU"/>
        </w:rPr>
        <w:t xml:space="preserve"> и</w:t>
      </w:r>
      <w:r w:rsidRPr="00D64A34">
        <w:rPr>
          <w:color w:val="000000"/>
          <w:sz w:val="24"/>
          <w:szCs w:val="24"/>
          <w:lang w:val="ru-RU"/>
        </w:rPr>
        <w:t xml:space="preserve"> используемо</w:t>
      </w:r>
      <w:r w:rsidR="00BA4A88" w:rsidRPr="00D64A34">
        <w:rPr>
          <w:color w:val="000000"/>
          <w:sz w:val="24"/>
          <w:szCs w:val="24"/>
          <w:lang w:val="ru-RU"/>
        </w:rPr>
        <w:t>го</w:t>
      </w:r>
      <w:r w:rsidRPr="00D64A34">
        <w:rPr>
          <w:color w:val="000000"/>
          <w:sz w:val="24"/>
          <w:szCs w:val="24"/>
          <w:lang w:val="ru-RU"/>
        </w:rPr>
        <w:t xml:space="preserve"> </w:t>
      </w:r>
      <w:r w:rsidR="004450B8" w:rsidRPr="00D64A34">
        <w:rPr>
          <w:color w:val="000000"/>
          <w:sz w:val="24"/>
          <w:szCs w:val="24"/>
          <w:lang w:val="ru-RU"/>
        </w:rPr>
        <w:t>в качестве</w:t>
      </w:r>
      <w:r w:rsidRPr="00D64A34">
        <w:rPr>
          <w:color w:val="000000"/>
          <w:sz w:val="24"/>
          <w:szCs w:val="24"/>
          <w:lang w:val="ru-RU"/>
        </w:rPr>
        <w:t xml:space="preserve"> гараж</w:t>
      </w:r>
      <w:r w:rsidR="004450B8" w:rsidRPr="00D64A34">
        <w:rPr>
          <w:color w:val="000000"/>
          <w:sz w:val="24"/>
          <w:szCs w:val="24"/>
          <w:lang w:val="ru-RU"/>
        </w:rPr>
        <w:t>а</w:t>
      </w:r>
      <w:r w:rsidRPr="00D64A34">
        <w:rPr>
          <w:color w:val="000000"/>
          <w:sz w:val="24"/>
          <w:szCs w:val="24"/>
          <w:lang w:val="ru-RU"/>
        </w:rPr>
        <w:t xml:space="preserve"> или мест</w:t>
      </w:r>
      <w:r w:rsidR="004450B8" w:rsidRPr="00D64A34">
        <w:rPr>
          <w:color w:val="000000"/>
          <w:sz w:val="24"/>
          <w:szCs w:val="24"/>
          <w:lang w:val="ru-RU"/>
        </w:rPr>
        <w:t>а</w:t>
      </w:r>
      <w:r w:rsidRPr="00D64A34">
        <w:rPr>
          <w:color w:val="000000"/>
          <w:sz w:val="24"/>
          <w:szCs w:val="24"/>
          <w:lang w:val="ru-RU"/>
        </w:rPr>
        <w:t xml:space="preserve"> для парковки</w:t>
      </w:r>
      <w:r w:rsidR="004450B8" w:rsidRPr="00D64A34">
        <w:rPr>
          <w:color w:val="000000"/>
          <w:sz w:val="24"/>
          <w:szCs w:val="24"/>
          <w:lang w:val="ru-RU"/>
        </w:rPr>
        <w:t xml:space="preserve">, расположенного в составе гаража для индивидуального транспорта </w:t>
      </w:r>
      <w:r w:rsidR="00BA4A88" w:rsidRPr="00D64A34">
        <w:rPr>
          <w:color w:val="000000"/>
          <w:sz w:val="24"/>
          <w:szCs w:val="24"/>
          <w:lang w:val="ru-RU"/>
        </w:rPr>
        <w:br/>
      </w:r>
      <w:r w:rsidR="004450B8" w:rsidRPr="00D64A34">
        <w:rPr>
          <w:color w:val="000000"/>
          <w:sz w:val="24"/>
          <w:szCs w:val="24"/>
          <w:lang w:val="ru-RU"/>
        </w:rPr>
        <w:t xml:space="preserve">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="004450B8" w:rsidRPr="00D64A34">
        <w:rPr>
          <w:color w:val="000000"/>
          <w:sz w:val="24"/>
          <w:szCs w:val="24"/>
          <w:lang w:val="ru-RU"/>
        </w:rPr>
        <w:t>), гараж</w:t>
      </w:r>
      <w:r w:rsidR="00BA4A88" w:rsidRPr="00D64A34">
        <w:rPr>
          <w:color w:val="000000"/>
          <w:sz w:val="24"/>
          <w:szCs w:val="24"/>
          <w:lang w:val="ru-RU"/>
        </w:rPr>
        <w:t>а, находящегося в составе</w:t>
      </w:r>
      <w:r w:rsidR="004450B8" w:rsidRPr="00D64A34">
        <w:rPr>
          <w:color w:val="000000"/>
          <w:sz w:val="24"/>
          <w:szCs w:val="24"/>
          <w:lang w:val="ru-RU"/>
        </w:rPr>
        <w:t xml:space="preserve"> ГСК или АСГ, </w:t>
      </w:r>
      <w:r w:rsidR="00BA4A88" w:rsidRPr="00D64A34">
        <w:rPr>
          <w:color w:val="000000"/>
          <w:sz w:val="24"/>
          <w:szCs w:val="24"/>
          <w:lang w:val="ru-RU"/>
        </w:rPr>
        <w:t xml:space="preserve">в многоэтажных </w:t>
      </w:r>
      <w:r w:rsidR="004450B8" w:rsidRPr="00D64A34">
        <w:rPr>
          <w:color w:val="000000"/>
          <w:sz w:val="24"/>
          <w:szCs w:val="24"/>
          <w:lang w:val="ru-RU"/>
        </w:rPr>
        <w:t>жилых дом</w:t>
      </w:r>
      <w:r w:rsidR="00BA4A88" w:rsidRPr="00D64A34">
        <w:rPr>
          <w:color w:val="000000"/>
          <w:sz w:val="24"/>
          <w:szCs w:val="24"/>
          <w:lang w:val="ru-RU"/>
        </w:rPr>
        <w:t xml:space="preserve">ах, </w:t>
      </w:r>
      <w:r w:rsidR="004450B8" w:rsidRPr="00D64A34">
        <w:rPr>
          <w:color w:val="000000"/>
          <w:sz w:val="24"/>
          <w:szCs w:val="24"/>
          <w:lang w:val="ru-RU"/>
        </w:rPr>
        <w:t>определяется по следующей формуле:</w:t>
      </w:r>
    </w:p>
    <w:p w14:paraId="2EDAEDCD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92"/>
        <w:jc w:val="both"/>
        <w:rPr>
          <w:color w:val="000000"/>
          <w:sz w:val="24"/>
          <w:szCs w:val="24"/>
          <w:lang w:val="ru-RU"/>
        </w:rPr>
      </w:pPr>
    </w:p>
    <w:tbl>
      <w:tblPr>
        <w:tblStyle w:val="ab"/>
        <w:tblW w:w="9992" w:type="dxa"/>
        <w:tblInd w:w="-270" w:type="dxa"/>
        <w:tblLayout w:type="fixed"/>
        <w:tblLook w:val="0000" w:firstRow="0" w:lastRow="0" w:firstColumn="0" w:lastColumn="0" w:noHBand="0" w:noVBand="0"/>
      </w:tblPr>
      <w:tblGrid>
        <w:gridCol w:w="9000"/>
        <w:gridCol w:w="992"/>
      </w:tblGrid>
      <w:tr w:rsidR="005F6F16" w:rsidRPr="00D64A34" w14:paraId="409ABE1C" w14:textId="77777777">
        <w:trPr>
          <w:trHeight w:val="623"/>
        </w:trPr>
        <w:tc>
          <w:tcPr>
            <w:tcW w:w="9000" w:type="dxa"/>
            <w:vAlign w:val="center"/>
          </w:tcPr>
          <w:p w14:paraId="1FE1AA57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VÎI = EXP[(SInt+K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en-US"/>
              </w:rPr>
              <w:t>S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*Ln(S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en-US"/>
              </w:rPr>
              <w:t>int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)) + (AInt.+ A*KA + 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en-US"/>
              </w:rPr>
              <w:t>2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*KA2 + 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en-US"/>
              </w:rPr>
              <w:t>3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 xml:space="preserve">*KA3) + KMP + KST + KAC + KET + KSB + KMA + KAN] * KAjC * </w:t>
            </w:r>
            <w:r w:rsidRPr="00D64A34">
              <w:rPr>
                <w:b/>
                <w:sz w:val="24"/>
                <w:szCs w:val="24"/>
                <w:lang w:val="en-US"/>
              </w:rPr>
              <w:t>KÎGLoc</w:t>
            </w: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 xml:space="preserve">* </w:t>
            </w:r>
            <w:r w:rsidRPr="00D64A34">
              <w:rPr>
                <w:b/>
                <w:sz w:val="24"/>
                <w:szCs w:val="24"/>
                <w:lang w:val="en-US"/>
              </w:rPr>
              <w:t>KÎGZonă</w:t>
            </w:r>
          </w:p>
        </w:tc>
        <w:tc>
          <w:tcPr>
            <w:tcW w:w="992" w:type="dxa"/>
            <w:vAlign w:val="center"/>
          </w:tcPr>
          <w:p w14:paraId="2F508F6B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(3)</w:t>
            </w:r>
          </w:p>
        </w:tc>
      </w:tr>
    </w:tbl>
    <w:p w14:paraId="0B7C0188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92"/>
        <w:jc w:val="both"/>
        <w:rPr>
          <w:color w:val="000000"/>
          <w:sz w:val="24"/>
          <w:szCs w:val="24"/>
          <w:lang w:val="ru-RU"/>
        </w:rPr>
      </w:pPr>
    </w:p>
    <w:p w14:paraId="2F536B37" w14:textId="4C87D787" w:rsidR="005F6F16" w:rsidRPr="00D64A34" w:rsidRDefault="004450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где</w:t>
      </w:r>
      <w:r w:rsidR="006F3F0B" w:rsidRPr="00D64A34">
        <w:rPr>
          <w:color w:val="000000"/>
          <w:sz w:val="24"/>
          <w:szCs w:val="24"/>
          <w:lang w:val="ru-RU"/>
        </w:rPr>
        <w:t>:</w:t>
      </w:r>
    </w:p>
    <w:tbl>
      <w:tblPr>
        <w:tblStyle w:val="ac"/>
        <w:tblpPr w:leftFromText="180" w:rightFromText="180" w:vertAnchor="text" w:tblpY="1"/>
        <w:tblW w:w="957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:rsidRPr="00D64A34" w14:paraId="438522F8" w14:textId="77777777">
        <w:tc>
          <w:tcPr>
            <w:tcW w:w="1384" w:type="dxa"/>
          </w:tcPr>
          <w:p w14:paraId="2E44E84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VÎI</w:t>
            </w:r>
          </w:p>
        </w:tc>
        <w:tc>
          <w:tcPr>
            <w:tcW w:w="8187" w:type="dxa"/>
          </w:tcPr>
          <w:p w14:paraId="198EE2D4" w14:textId="77777777" w:rsidR="000A7942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4450B8" w:rsidRPr="00D64A34">
              <w:rPr>
                <w:color w:val="000000"/>
                <w:sz w:val="24"/>
                <w:szCs w:val="24"/>
                <w:lang w:val="ru-RU"/>
              </w:rPr>
              <w:t xml:space="preserve">оценённая стоимость изолированного помещения, лей. </w:t>
            </w:r>
          </w:p>
          <w:p w14:paraId="2490010D" w14:textId="62176603" w:rsidR="005F6F16" w:rsidRPr="00D64A34" w:rsidRDefault="000A79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Изолированным помещением считается помещение, зарегистрированное в Реестре недвижимого имущества с назначением «нежилое», используемое в качестве гаража или места для парковки, расположенного в составе гаража для индивидуального транспорта (за исключением гаражей, расположенных на земельных участках, прилегающих к </w:t>
            </w:r>
            <w:r w:rsidR="00AF4FA8" w:rsidRPr="00D64A34">
              <w:rPr>
                <w:color w:val="000000"/>
                <w:sz w:val="24"/>
                <w:szCs w:val="24"/>
                <w:lang w:val="ru-RU"/>
              </w:rPr>
              <w:t>жилым домам, дачным домам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>), гараж</w:t>
            </w:r>
            <w:r w:rsidR="00C570DA" w:rsidRPr="00D64A34">
              <w:rPr>
                <w:color w:val="000000"/>
                <w:sz w:val="24"/>
                <w:szCs w:val="24"/>
                <w:lang w:val="ru-RU"/>
              </w:rPr>
              <w:t>а, находящегося в составе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ГСК или АСГ, многоэтажных жилых домах</w:t>
            </w:r>
            <w:r w:rsidR="006F3F0B" w:rsidRPr="00D64A34">
              <w:rPr>
                <w:color w:val="000000"/>
                <w:sz w:val="24"/>
                <w:szCs w:val="24"/>
                <w:lang w:val="ru-RU"/>
              </w:rPr>
              <w:t>;</w:t>
            </w:r>
          </w:p>
        </w:tc>
      </w:tr>
      <w:tr w:rsidR="005F6F16" w:rsidRPr="00D64A34" w14:paraId="0FB3F993" w14:textId="77777777">
        <w:tc>
          <w:tcPr>
            <w:tcW w:w="1384" w:type="dxa"/>
          </w:tcPr>
          <w:p w14:paraId="659B565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SInt.</w:t>
            </w:r>
          </w:p>
        </w:tc>
        <w:tc>
          <w:tcPr>
            <w:tcW w:w="8187" w:type="dxa"/>
          </w:tcPr>
          <w:p w14:paraId="134D1890" w14:textId="1D3C0735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A7942" w:rsidRPr="00D64A34">
              <w:rPr>
                <w:color w:val="000000"/>
                <w:sz w:val="24"/>
                <w:szCs w:val="24"/>
                <w:lang w:val="ru-RU"/>
              </w:rPr>
              <w:t xml:space="preserve"> постоянная уравнения регрессии стоимостного фактора «общая 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>внутренняя</w:t>
            </w:r>
            <w:r w:rsidR="000A7942" w:rsidRPr="00D64A34">
              <w:rPr>
                <w:color w:val="000000"/>
                <w:sz w:val="24"/>
                <w:szCs w:val="24"/>
                <w:lang w:val="ru-RU"/>
              </w:rPr>
              <w:t xml:space="preserve"> площадь»;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5F6F16" w:rsidRPr="00D64A34" w14:paraId="7E4709B6" w14:textId="77777777">
        <w:tc>
          <w:tcPr>
            <w:tcW w:w="1384" w:type="dxa"/>
          </w:tcPr>
          <w:p w14:paraId="067A24CB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S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int</w:t>
            </w:r>
          </w:p>
        </w:tc>
        <w:tc>
          <w:tcPr>
            <w:tcW w:w="8187" w:type="dxa"/>
          </w:tcPr>
          <w:p w14:paraId="21973059" w14:textId="0D3987DC" w:rsidR="000C480C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>общая внутренняя площадь изолированного помещения, кв.м.</w:t>
            </w:r>
          </w:p>
          <w:p w14:paraId="16E22F8E" w14:textId="7583CE6E" w:rsidR="005F6F16" w:rsidRPr="00D64A34" w:rsidRDefault="000C48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lastRenderedPageBreak/>
              <w:t>Общая внутренняя площадь – площадь, рассчитанная на основе измерений, выполненных по внутреннему контуру наружных стен строения. В общую внешнюю площадь не включают площадь подвала, мансарды, пристроек.</w:t>
            </w:r>
            <w:r w:rsidR="006F3F0B" w:rsidRPr="00D64A34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5F6F16" w:rsidRPr="00D64A34" w14:paraId="6872D626" w14:textId="77777777">
        <w:tc>
          <w:tcPr>
            <w:tcW w:w="1384" w:type="dxa"/>
          </w:tcPr>
          <w:p w14:paraId="064C94F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vertAlign w:val="subscript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lastRenderedPageBreak/>
              <w:t>K</w:t>
            </w:r>
            <w:r w:rsidRPr="00D64A34">
              <w:rPr>
                <w:b/>
                <w:color w:val="000000"/>
                <w:sz w:val="24"/>
                <w:szCs w:val="24"/>
                <w:vertAlign w:val="subscript"/>
                <w:lang w:val="ru-RU"/>
              </w:rPr>
              <w:t>s</w:t>
            </w:r>
          </w:p>
        </w:tc>
        <w:tc>
          <w:tcPr>
            <w:tcW w:w="8187" w:type="dxa"/>
          </w:tcPr>
          <w:p w14:paraId="42FC69C7" w14:textId="47FF29C6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– 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«общая внутренняя площадь»; </w:t>
            </w:r>
          </w:p>
        </w:tc>
      </w:tr>
      <w:tr w:rsidR="005F6F16" w:rsidRPr="00D64A34" w14:paraId="67CCDED9" w14:textId="77777777">
        <w:tc>
          <w:tcPr>
            <w:tcW w:w="1384" w:type="dxa"/>
          </w:tcPr>
          <w:p w14:paraId="188E6E5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AInt.</w:t>
            </w:r>
          </w:p>
        </w:tc>
        <w:tc>
          <w:tcPr>
            <w:tcW w:w="8187" w:type="dxa"/>
          </w:tcPr>
          <w:p w14:paraId="2B2C913F" w14:textId="0B7D1D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>постоянная уравнения регрессии стоимостного фактора «хронологический возраст»;</w:t>
            </w:r>
          </w:p>
        </w:tc>
      </w:tr>
      <w:tr w:rsidR="005F6F16" w:rsidRPr="00D64A34" w14:paraId="1E0D5EEB" w14:textId="77777777">
        <w:tc>
          <w:tcPr>
            <w:tcW w:w="1384" w:type="dxa"/>
          </w:tcPr>
          <w:p w14:paraId="398E172E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</w:t>
            </w:r>
          </w:p>
        </w:tc>
        <w:tc>
          <w:tcPr>
            <w:tcW w:w="8187" w:type="dxa"/>
          </w:tcPr>
          <w:p w14:paraId="2CF14CD5" w14:textId="7BAF347A" w:rsidR="000C480C" w:rsidRPr="00D64A34" w:rsidRDefault="006F3F0B" w:rsidP="000C48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 xml:space="preserve">хронологический возраст, лет (с точностью 1,0). </w:t>
            </w:r>
          </w:p>
          <w:p w14:paraId="1B1C0C37" w14:textId="22B47A8E" w:rsidR="005F6F16" w:rsidRPr="00D64A34" w:rsidRDefault="000C480C" w:rsidP="000C48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Хронологический возраст рассчитывается как разница между годом выполнения массовой оценки / переоценки и годом постройки / сдачи в эксплуатацию строения; </w:t>
            </w:r>
          </w:p>
        </w:tc>
      </w:tr>
      <w:tr w:rsidR="005F6F16" w:rsidRPr="00D64A34" w14:paraId="24D72622" w14:textId="77777777">
        <w:tc>
          <w:tcPr>
            <w:tcW w:w="1384" w:type="dxa"/>
          </w:tcPr>
          <w:p w14:paraId="01FF150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</w:t>
            </w:r>
          </w:p>
        </w:tc>
        <w:tc>
          <w:tcPr>
            <w:tcW w:w="8187" w:type="dxa"/>
          </w:tcPr>
          <w:p w14:paraId="31D71F43" w14:textId="56B1BD12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«хронологический возраст»; </w:t>
            </w:r>
          </w:p>
        </w:tc>
      </w:tr>
      <w:tr w:rsidR="005F6F16" w:rsidRPr="00D64A34" w14:paraId="282B893F" w14:textId="77777777">
        <w:tc>
          <w:tcPr>
            <w:tcW w:w="1384" w:type="dxa"/>
          </w:tcPr>
          <w:p w14:paraId="6CDEBA32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ru-RU"/>
              </w:rPr>
              <w:t>2</w:t>
            </w:r>
          </w:p>
        </w:tc>
        <w:tc>
          <w:tcPr>
            <w:tcW w:w="8187" w:type="dxa"/>
          </w:tcPr>
          <w:p w14:paraId="3799F3D2" w14:textId="5BE1A278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 xml:space="preserve">квадратичная функция стоимостного фактора 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«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>хронологический возраст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»</w:t>
            </w:r>
            <w:r w:rsidR="000C480C" w:rsidRPr="00D64A34">
              <w:rPr>
                <w:color w:val="000000"/>
                <w:sz w:val="24"/>
                <w:szCs w:val="24"/>
                <w:lang w:val="ru-RU"/>
              </w:rPr>
              <w:t>;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5F6F16" w:rsidRPr="00D64A34" w14:paraId="35A99642" w14:textId="77777777">
        <w:tc>
          <w:tcPr>
            <w:tcW w:w="1384" w:type="dxa"/>
          </w:tcPr>
          <w:p w14:paraId="293CF414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KA2</w:t>
            </w:r>
          </w:p>
        </w:tc>
        <w:tc>
          <w:tcPr>
            <w:tcW w:w="8187" w:type="dxa"/>
          </w:tcPr>
          <w:p w14:paraId="226C73F7" w14:textId="7EAAC133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«хронологический возраст» в составе квадратичной функции;</w:t>
            </w:r>
          </w:p>
        </w:tc>
      </w:tr>
      <w:tr w:rsidR="005F6F16" w:rsidRPr="00D64A34" w14:paraId="7175ABB8" w14:textId="77777777">
        <w:tc>
          <w:tcPr>
            <w:tcW w:w="1384" w:type="dxa"/>
          </w:tcPr>
          <w:p w14:paraId="45F63F6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A</w:t>
            </w:r>
            <w:r w:rsidRPr="00D64A34">
              <w:rPr>
                <w:b/>
                <w:color w:val="000000"/>
                <w:sz w:val="24"/>
                <w:szCs w:val="24"/>
                <w:vertAlign w:val="superscript"/>
                <w:lang w:val="ru-RU"/>
              </w:rPr>
              <w:t>3</w:t>
            </w:r>
          </w:p>
        </w:tc>
        <w:tc>
          <w:tcPr>
            <w:tcW w:w="8187" w:type="dxa"/>
          </w:tcPr>
          <w:p w14:paraId="12EB8C65" w14:textId="4B7701A5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 xml:space="preserve">кубическая функция стоимостного фактора «хронологический возраст»; </w:t>
            </w:r>
          </w:p>
        </w:tc>
      </w:tr>
      <w:tr w:rsidR="005F6F16" w:rsidRPr="00D64A34" w14:paraId="42795D01" w14:textId="77777777">
        <w:tc>
          <w:tcPr>
            <w:tcW w:w="1384" w:type="dxa"/>
          </w:tcPr>
          <w:p w14:paraId="4A49B86A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KA3</w:t>
            </w:r>
          </w:p>
        </w:tc>
        <w:tc>
          <w:tcPr>
            <w:tcW w:w="8187" w:type="dxa"/>
          </w:tcPr>
          <w:p w14:paraId="09349D0B" w14:textId="5D81AEA1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«хронологический возраст» в составе кубической функции;</w:t>
            </w:r>
          </w:p>
        </w:tc>
      </w:tr>
      <w:tr w:rsidR="005F6F16" w:rsidRPr="00D64A34" w14:paraId="5C72D129" w14:textId="77777777">
        <w:tc>
          <w:tcPr>
            <w:tcW w:w="1384" w:type="dxa"/>
          </w:tcPr>
          <w:p w14:paraId="44F1B712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KMP</w:t>
            </w:r>
          </w:p>
        </w:tc>
        <w:tc>
          <w:tcPr>
            <w:tcW w:w="8187" w:type="dxa"/>
          </w:tcPr>
          <w:p w14:paraId="08674B26" w14:textId="748CC014" w:rsidR="00B56708" w:rsidRPr="00D64A34" w:rsidRDefault="006F3F0B" w:rsidP="00B56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«материал стен». </w:t>
            </w:r>
          </w:p>
          <w:p w14:paraId="080900DD" w14:textId="65F228A5" w:rsidR="005F6F16" w:rsidRPr="00D64A34" w:rsidRDefault="00B56708" w:rsidP="00B56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Материал стен представляет собой преобладающий вид материала наружных стен строения;</w:t>
            </w:r>
          </w:p>
        </w:tc>
      </w:tr>
      <w:tr w:rsidR="005F6F16" w:rsidRPr="00D64A34" w14:paraId="45A22AC9" w14:textId="77777777">
        <w:tc>
          <w:tcPr>
            <w:tcW w:w="1384" w:type="dxa"/>
          </w:tcPr>
          <w:p w14:paraId="3BCEF88C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KST</w:t>
            </w:r>
          </w:p>
        </w:tc>
        <w:tc>
          <w:tcPr>
            <w:tcW w:w="8187" w:type="dxa"/>
          </w:tcPr>
          <w:p w14:paraId="0E21E6DB" w14:textId="3AC005FF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«техническое состояние строения»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>;</w:t>
            </w:r>
          </w:p>
        </w:tc>
      </w:tr>
      <w:tr w:rsidR="005F6F16" w:rsidRPr="00D64A34" w14:paraId="0320F335" w14:textId="77777777">
        <w:tc>
          <w:tcPr>
            <w:tcW w:w="1384" w:type="dxa"/>
          </w:tcPr>
          <w:p w14:paraId="795048F1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KAC</w:t>
            </w:r>
          </w:p>
        </w:tc>
        <w:tc>
          <w:tcPr>
            <w:tcW w:w="8187" w:type="dxa"/>
          </w:tcPr>
          <w:p w14:paraId="1FD20E86" w14:textId="5ED8761B" w:rsidR="00B56708" w:rsidRPr="00D64A34" w:rsidRDefault="006F3F0B" w:rsidP="00B56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«материал кровли».</w:t>
            </w:r>
          </w:p>
          <w:p w14:paraId="180B4349" w14:textId="43314ACA" w:rsidR="005F6F16" w:rsidRPr="00D64A34" w:rsidRDefault="00B56708" w:rsidP="00B56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Материал кровли представляет собой преобладающий вид материала кровли строения;</w:t>
            </w:r>
          </w:p>
        </w:tc>
      </w:tr>
      <w:tr w:rsidR="005F6F16" w:rsidRPr="00D64A34" w14:paraId="2715DC7F" w14:textId="77777777">
        <w:tc>
          <w:tcPr>
            <w:tcW w:w="1384" w:type="dxa"/>
          </w:tcPr>
          <w:p w14:paraId="221EE7C3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KET</w:t>
            </w:r>
          </w:p>
        </w:tc>
        <w:tc>
          <w:tcPr>
            <w:tcW w:w="8187" w:type="dxa"/>
          </w:tcPr>
          <w:p w14:paraId="16ADDD77" w14:textId="38D87004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«этаж расположения изолированного помещения»;</w:t>
            </w:r>
          </w:p>
        </w:tc>
      </w:tr>
      <w:tr w:rsidR="005F6F16" w:rsidRPr="00D64A34" w14:paraId="548BD955" w14:textId="77777777">
        <w:tc>
          <w:tcPr>
            <w:tcW w:w="1384" w:type="dxa"/>
          </w:tcPr>
          <w:p w14:paraId="0CB8CBCE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KSB</w:t>
            </w:r>
          </w:p>
        </w:tc>
        <w:tc>
          <w:tcPr>
            <w:tcW w:w="8187" w:type="dxa"/>
          </w:tcPr>
          <w:p w14:paraId="286F653F" w14:textId="4349234F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«наличие подвала»;</w:t>
            </w:r>
          </w:p>
        </w:tc>
      </w:tr>
      <w:tr w:rsidR="005F6F16" w:rsidRPr="00D64A34" w14:paraId="220CA92A" w14:textId="77777777">
        <w:tc>
          <w:tcPr>
            <w:tcW w:w="1384" w:type="dxa"/>
          </w:tcPr>
          <w:p w14:paraId="141D7B9B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KMA</w:t>
            </w:r>
          </w:p>
        </w:tc>
        <w:tc>
          <w:tcPr>
            <w:tcW w:w="8187" w:type="dxa"/>
          </w:tcPr>
          <w:p w14:paraId="4A1BA819" w14:textId="193281B0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«наличие мансарды»;</w:t>
            </w:r>
          </w:p>
        </w:tc>
      </w:tr>
      <w:tr w:rsidR="005F6F16" w:rsidRPr="00D64A34" w14:paraId="7B733683" w14:textId="77777777">
        <w:tc>
          <w:tcPr>
            <w:tcW w:w="1384" w:type="dxa"/>
          </w:tcPr>
          <w:p w14:paraId="5AC2812E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KAN</w:t>
            </w:r>
          </w:p>
        </w:tc>
        <w:tc>
          <w:tcPr>
            <w:tcW w:w="8187" w:type="dxa"/>
          </w:tcPr>
          <w:p w14:paraId="72E2A224" w14:textId="792C9500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«наличие пристройки»;</w:t>
            </w:r>
          </w:p>
        </w:tc>
      </w:tr>
      <w:tr w:rsidR="005F6F16" w:rsidRPr="00D64A34" w14:paraId="2BE4C3F0" w14:textId="77777777">
        <w:tc>
          <w:tcPr>
            <w:tcW w:w="1384" w:type="dxa"/>
          </w:tcPr>
          <w:p w14:paraId="0DFF2E1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KAjC</w:t>
            </w:r>
          </w:p>
        </w:tc>
        <w:tc>
          <w:tcPr>
            <w:tcW w:w="8187" w:type="dxa"/>
          </w:tcPr>
          <w:p w14:paraId="1198BF04" w14:textId="6AD622AE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общих поправок (определяется согласно формуле 4 из пункта 5);</w:t>
            </w:r>
          </w:p>
        </w:tc>
      </w:tr>
      <w:tr w:rsidR="005F6F16" w:rsidRPr="00D64A34" w14:paraId="74D84163" w14:textId="77777777">
        <w:tc>
          <w:tcPr>
            <w:tcW w:w="1384" w:type="dxa"/>
          </w:tcPr>
          <w:p w14:paraId="023D8C9B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KÎGLoc</w:t>
            </w:r>
          </w:p>
        </w:tc>
        <w:tc>
          <w:tcPr>
            <w:tcW w:w="8187" w:type="dxa"/>
          </w:tcPr>
          <w:p w14:paraId="0E47D58D" w14:textId="5E3B38D4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«населённый пункт». Данный стоимостной фактор определяется в соответствии с приложением 2 настоящего приказа.</w:t>
            </w:r>
          </w:p>
        </w:tc>
      </w:tr>
      <w:tr w:rsidR="005F6F16" w:rsidRPr="00D64A34" w14:paraId="6FD7DC08" w14:textId="77777777">
        <w:tc>
          <w:tcPr>
            <w:tcW w:w="1384" w:type="dxa"/>
          </w:tcPr>
          <w:p w14:paraId="27516887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KÎGZonă</w:t>
            </w:r>
          </w:p>
        </w:tc>
        <w:tc>
          <w:tcPr>
            <w:tcW w:w="8187" w:type="dxa"/>
          </w:tcPr>
          <w:p w14:paraId="7923DCBB" w14:textId="057E38C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B56708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«стоимостная зона». Данный стоимостной фактор определяется в соответствии с приложением 2 настоящего приказа. </w:t>
            </w:r>
          </w:p>
        </w:tc>
      </w:tr>
      <w:tr w:rsidR="005F6F16" w:rsidRPr="00D64A34" w14:paraId="247BC257" w14:textId="77777777">
        <w:tc>
          <w:tcPr>
            <w:tcW w:w="1384" w:type="dxa"/>
          </w:tcPr>
          <w:p w14:paraId="4721008A" w14:textId="77777777" w:rsidR="005F6F16" w:rsidRPr="00D64A34" w:rsidRDefault="005F6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8187" w:type="dxa"/>
          </w:tcPr>
          <w:p w14:paraId="581E7BAF" w14:textId="77777777" w:rsidR="005F6F16" w:rsidRPr="00D64A34" w:rsidRDefault="005F6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</w:p>
        </w:tc>
      </w:tr>
    </w:tbl>
    <w:p w14:paraId="3ADB4E4F" w14:textId="299D8407" w:rsidR="005F6F16" w:rsidRPr="00D64A34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 xml:space="preserve">5. </w:t>
      </w:r>
      <w:r w:rsidR="00B56708" w:rsidRPr="00D64A34">
        <w:rPr>
          <w:color w:val="000000"/>
          <w:sz w:val="24"/>
          <w:szCs w:val="24"/>
          <w:lang w:val="ru-RU"/>
        </w:rPr>
        <w:t>Коэффициент общих поправок определяется по следующей формуле:</w:t>
      </w:r>
    </w:p>
    <w:p w14:paraId="0A580A37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  <w:sectPr w:rsidR="005F6F16" w:rsidRPr="00D64A34">
          <w:headerReference w:type="default" r:id="rId12"/>
          <w:type w:val="continuous"/>
          <w:pgSz w:w="11906" w:h="16838"/>
          <w:pgMar w:top="1134" w:right="850" w:bottom="1560" w:left="1701" w:header="708" w:footer="708" w:gutter="0"/>
          <w:cols w:space="720"/>
          <w:titlePg/>
        </w:sectPr>
      </w:pPr>
    </w:p>
    <w:p w14:paraId="6E8C8777" w14:textId="77777777" w:rsidR="005F6F16" w:rsidRPr="00D64A34" w:rsidRDefault="005F6F1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  <w:lang w:val="ru-RU"/>
        </w:rPr>
      </w:pPr>
    </w:p>
    <w:tbl>
      <w:tblPr>
        <w:tblStyle w:val="ad"/>
        <w:tblW w:w="9915" w:type="dxa"/>
        <w:tblInd w:w="-180" w:type="dxa"/>
        <w:tblLayout w:type="fixed"/>
        <w:tblLook w:val="0000" w:firstRow="0" w:lastRow="0" w:firstColumn="0" w:lastColumn="0" w:noHBand="0" w:noVBand="0"/>
      </w:tblPr>
      <w:tblGrid>
        <w:gridCol w:w="9000"/>
        <w:gridCol w:w="915"/>
      </w:tblGrid>
      <w:tr w:rsidR="005F6F16" w:rsidRPr="00D64A34" w14:paraId="47E2242F" w14:textId="77777777">
        <w:tc>
          <w:tcPr>
            <w:tcW w:w="9000" w:type="dxa"/>
            <w:vAlign w:val="center"/>
          </w:tcPr>
          <w:p w14:paraId="2035D5DF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D64A34">
              <w:rPr>
                <w:b/>
                <w:color w:val="000000"/>
                <w:sz w:val="24"/>
                <w:szCs w:val="24"/>
                <w:lang w:val="en-US"/>
              </w:rPr>
              <w:t>KAjC = EXP(KAS + KDA + KEL + KAp + KCA + KGA)</w:t>
            </w:r>
          </w:p>
        </w:tc>
        <w:tc>
          <w:tcPr>
            <w:tcW w:w="915" w:type="dxa"/>
            <w:vAlign w:val="center"/>
          </w:tcPr>
          <w:p w14:paraId="4C5A8661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(4)</w:t>
            </w:r>
          </w:p>
        </w:tc>
      </w:tr>
    </w:tbl>
    <w:p w14:paraId="4992FCF6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</w:p>
    <w:p w14:paraId="26FF33B3" w14:textId="26A68E01" w:rsidR="005F6F16" w:rsidRPr="00D64A34" w:rsidRDefault="00B5670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>где</w:t>
      </w:r>
      <w:r w:rsidR="006F3F0B" w:rsidRPr="00D64A34">
        <w:rPr>
          <w:color w:val="000000"/>
          <w:sz w:val="24"/>
          <w:szCs w:val="24"/>
          <w:lang w:val="ru-RU"/>
        </w:rPr>
        <w:t>:</w:t>
      </w:r>
    </w:p>
    <w:tbl>
      <w:tblPr>
        <w:tblStyle w:val="ae"/>
        <w:tblW w:w="9372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1008"/>
        <w:gridCol w:w="8364"/>
      </w:tblGrid>
      <w:tr w:rsidR="005F6F16" w:rsidRPr="00D64A34" w14:paraId="3BA519AA" w14:textId="77777777">
        <w:trPr>
          <w:trHeight w:val="315"/>
        </w:trPr>
        <w:tc>
          <w:tcPr>
            <w:tcW w:w="1008" w:type="dxa"/>
          </w:tcPr>
          <w:p w14:paraId="276F14B3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KAS</w:t>
            </w:r>
          </w:p>
        </w:tc>
        <w:tc>
          <w:tcPr>
            <w:tcW w:w="8364" w:type="dxa"/>
          </w:tcPr>
          <w:p w14:paraId="6B79D31E" w14:textId="3CA9934C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>коэффициент стоимостного фактора «расположение сектора»;</w:t>
            </w:r>
          </w:p>
        </w:tc>
      </w:tr>
      <w:tr w:rsidR="005F6F16" w:rsidRPr="00D64A34" w14:paraId="7063B256" w14:textId="77777777">
        <w:trPr>
          <w:trHeight w:val="315"/>
        </w:trPr>
        <w:tc>
          <w:tcPr>
            <w:tcW w:w="1008" w:type="dxa"/>
          </w:tcPr>
          <w:p w14:paraId="47D65AA9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lastRenderedPageBreak/>
              <w:t>KDA</w:t>
            </w:r>
          </w:p>
        </w:tc>
        <w:tc>
          <w:tcPr>
            <w:tcW w:w="8364" w:type="dxa"/>
          </w:tcPr>
          <w:p w14:paraId="0560DF50" w14:textId="034CC814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«подъездная дорога»; </w:t>
            </w:r>
          </w:p>
        </w:tc>
      </w:tr>
      <w:tr w:rsidR="005F6F16" w:rsidRPr="00D64A34" w14:paraId="2A6249CB" w14:textId="77777777">
        <w:trPr>
          <w:trHeight w:val="315"/>
        </w:trPr>
        <w:tc>
          <w:tcPr>
            <w:tcW w:w="1008" w:type="dxa"/>
          </w:tcPr>
          <w:p w14:paraId="3BBD88E0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KEL</w:t>
            </w:r>
          </w:p>
        </w:tc>
        <w:tc>
          <w:tcPr>
            <w:tcW w:w="8364" w:type="dxa"/>
          </w:tcPr>
          <w:p w14:paraId="67AC6870" w14:textId="77777777" w:rsidR="00ED54A9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электросети»; </w:t>
            </w:r>
          </w:p>
          <w:p w14:paraId="7138C81F" w14:textId="1EF32875" w:rsidR="005F6F16" w:rsidRPr="00D64A34" w:rsidRDefault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Данный стоимостной фактор учитывается при условии, если на </w:t>
            </w:r>
            <w:r w:rsidR="00C570DA" w:rsidRPr="00D64A34">
              <w:rPr>
                <w:color w:val="000000"/>
                <w:sz w:val="24"/>
                <w:szCs w:val="24"/>
                <w:lang w:val="ru-RU"/>
              </w:rPr>
              <w:t xml:space="preserve">земельном 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>участке и / или в строении есть электросеть;</w:t>
            </w:r>
          </w:p>
        </w:tc>
      </w:tr>
      <w:tr w:rsidR="005F6F16" w:rsidRPr="00D64A34" w14:paraId="1EA430C6" w14:textId="77777777">
        <w:trPr>
          <w:trHeight w:val="315"/>
        </w:trPr>
        <w:tc>
          <w:tcPr>
            <w:tcW w:w="1008" w:type="dxa"/>
          </w:tcPr>
          <w:p w14:paraId="17B5C664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KAp</w:t>
            </w:r>
          </w:p>
        </w:tc>
        <w:tc>
          <w:tcPr>
            <w:tcW w:w="8364" w:type="dxa"/>
          </w:tcPr>
          <w:p w14:paraId="066F0640" w14:textId="2CD1AFAD" w:rsidR="00ED54A9" w:rsidRPr="00D64A34" w:rsidRDefault="006F3F0B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водопровода». </w:t>
            </w:r>
          </w:p>
          <w:p w14:paraId="3388B568" w14:textId="047BD4A4" w:rsidR="005F6F16" w:rsidRPr="00D64A34" w:rsidRDefault="00ED54A9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Данный стоимостной фактор учитывается при условии, если на</w:t>
            </w:r>
            <w:r w:rsidR="00C570DA" w:rsidRPr="00D64A34">
              <w:rPr>
                <w:color w:val="000000"/>
                <w:sz w:val="24"/>
                <w:szCs w:val="24"/>
                <w:lang w:val="ru-RU"/>
              </w:rPr>
              <w:t xml:space="preserve"> земельном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участке и / или в строении есть водопровод;</w:t>
            </w:r>
          </w:p>
        </w:tc>
      </w:tr>
      <w:tr w:rsidR="005F6F16" w:rsidRPr="00D64A34" w14:paraId="4304071C" w14:textId="77777777">
        <w:trPr>
          <w:trHeight w:val="315"/>
        </w:trPr>
        <w:tc>
          <w:tcPr>
            <w:tcW w:w="1008" w:type="dxa"/>
          </w:tcPr>
          <w:p w14:paraId="1BEFD52D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KCA</w:t>
            </w:r>
          </w:p>
        </w:tc>
        <w:tc>
          <w:tcPr>
            <w:tcW w:w="8364" w:type="dxa"/>
          </w:tcPr>
          <w:p w14:paraId="3E3D5DE6" w14:textId="7CE235F6" w:rsidR="00ED54A9" w:rsidRPr="00D64A34" w:rsidRDefault="006F3F0B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канализации». </w:t>
            </w:r>
          </w:p>
          <w:p w14:paraId="5AD1F07E" w14:textId="59027E3F" w:rsidR="005F6F16" w:rsidRPr="00D64A34" w:rsidRDefault="00ED54A9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Данный стоимостной фактор учитывается при условии, если на </w:t>
            </w:r>
            <w:r w:rsidR="00C570DA" w:rsidRPr="00D64A34">
              <w:rPr>
                <w:color w:val="000000"/>
                <w:sz w:val="24"/>
                <w:szCs w:val="24"/>
                <w:lang w:val="ru-RU"/>
              </w:rPr>
              <w:t xml:space="preserve">земельном 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>участке и / или в строении есть канализация;</w:t>
            </w:r>
          </w:p>
        </w:tc>
      </w:tr>
      <w:tr w:rsidR="005F6F16" w:rsidRPr="00D64A34" w14:paraId="7E217814" w14:textId="77777777">
        <w:trPr>
          <w:trHeight w:val="315"/>
        </w:trPr>
        <w:tc>
          <w:tcPr>
            <w:tcW w:w="1008" w:type="dxa"/>
          </w:tcPr>
          <w:p w14:paraId="0C91A83F" w14:textId="77777777" w:rsidR="005F6F16" w:rsidRPr="00D64A34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b/>
                <w:color w:val="000000"/>
                <w:sz w:val="24"/>
                <w:szCs w:val="24"/>
                <w:lang w:val="ru-RU"/>
              </w:rPr>
              <w:t>KGA</w:t>
            </w:r>
          </w:p>
        </w:tc>
        <w:tc>
          <w:tcPr>
            <w:tcW w:w="8364" w:type="dxa"/>
          </w:tcPr>
          <w:p w14:paraId="261E4E7A" w14:textId="64464559" w:rsidR="00ED54A9" w:rsidRPr="00D64A34" w:rsidRDefault="006F3F0B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–</w:t>
            </w:r>
            <w:r w:rsidR="00ED54A9" w:rsidRPr="00D64A34">
              <w:rPr>
                <w:color w:val="000000"/>
                <w:sz w:val="24"/>
                <w:szCs w:val="24"/>
                <w:lang w:val="ru-RU"/>
              </w:rPr>
              <w:t xml:space="preserve">коэффициент стоимостного фактора «наличие газопровода». </w:t>
            </w:r>
          </w:p>
          <w:p w14:paraId="4AF04204" w14:textId="7B0A0925" w:rsidR="005F6F16" w:rsidRPr="00D64A34" w:rsidRDefault="00ED54A9" w:rsidP="00ED5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ru-RU"/>
              </w:rPr>
            </w:pPr>
            <w:r w:rsidRPr="00D64A34">
              <w:rPr>
                <w:color w:val="000000"/>
                <w:sz w:val="24"/>
                <w:szCs w:val="24"/>
                <w:lang w:val="ru-RU"/>
              </w:rPr>
              <w:t>Данный стоимостной фактор учитывается при условии, если на</w:t>
            </w:r>
            <w:r w:rsidR="00C570DA" w:rsidRPr="00D64A34">
              <w:rPr>
                <w:color w:val="000000"/>
                <w:sz w:val="24"/>
                <w:szCs w:val="24"/>
                <w:lang w:val="ru-RU"/>
              </w:rPr>
              <w:t xml:space="preserve"> земельном</w:t>
            </w:r>
            <w:r w:rsidRPr="00D64A34">
              <w:rPr>
                <w:color w:val="000000"/>
                <w:sz w:val="24"/>
                <w:szCs w:val="24"/>
                <w:lang w:val="ru-RU"/>
              </w:rPr>
              <w:t xml:space="preserve"> участке и / или в строении есть газопровод.</w:t>
            </w:r>
          </w:p>
        </w:tc>
      </w:tr>
    </w:tbl>
    <w:p w14:paraId="6508954B" w14:textId="77777777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</w:p>
    <w:p w14:paraId="47E17CF6" w14:textId="4D2B0BEF" w:rsidR="00ED54A9" w:rsidRPr="00D64A34" w:rsidRDefault="006F3F0B" w:rsidP="00B5283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D64A34">
        <w:rPr>
          <w:color w:val="000000"/>
          <w:sz w:val="24"/>
          <w:szCs w:val="24"/>
          <w:lang w:val="ru-RU"/>
        </w:rPr>
        <w:t xml:space="preserve">6. </w:t>
      </w:r>
      <w:r w:rsidR="00ED54A9" w:rsidRPr="00D64A34">
        <w:rPr>
          <w:color w:val="000000"/>
          <w:sz w:val="24"/>
          <w:szCs w:val="24"/>
          <w:lang w:val="ru-RU"/>
        </w:rPr>
        <w:t>Коэффициенты стоимостных факторов, применяемых в модели оценки</w:t>
      </w:r>
      <w:r w:rsidR="00B52834" w:rsidRPr="00D64A34">
        <w:rPr>
          <w:color w:val="000000"/>
          <w:sz w:val="24"/>
          <w:szCs w:val="24"/>
          <w:lang w:val="ru-RU"/>
        </w:rPr>
        <w:t xml:space="preserve"> гаражей для индивидуального транспорта (за исключением гаражей, расположенных на земельных участках, прилегающих к </w:t>
      </w:r>
      <w:r w:rsidR="00AF4FA8" w:rsidRPr="00D64A34">
        <w:rPr>
          <w:color w:val="000000"/>
          <w:sz w:val="24"/>
          <w:szCs w:val="24"/>
          <w:lang w:val="ru-RU"/>
        </w:rPr>
        <w:t>жилым домам, дачным домам</w:t>
      </w:r>
      <w:r w:rsidR="00B52834" w:rsidRPr="00D64A34">
        <w:rPr>
          <w:color w:val="000000"/>
          <w:sz w:val="24"/>
          <w:szCs w:val="24"/>
          <w:lang w:val="ru-RU"/>
        </w:rPr>
        <w:t>), гаражей находящихся в составе гаражно-строительных кооперативов (ГСК) или ассоциаций собственников гаражей (АСГ), гаражей и мест для парковок в составе многоэтажных жилых дом</w:t>
      </w:r>
      <w:r w:rsidR="00C570DA" w:rsidRPr="00D64A34">
        <w:rPr>
          <w:color w:val="000000"/>
          <w:sz w:val="24"/>
          <w:szCs w:val="24"/>
          <w:lang w:val="ru-RU"/>
        </w:rPr>
        <w:t>ов</w:t>
      </w:r>
      <w:r w:rsidR="00B52834" w:rsidRPr="00D64A34">
        <w:rPr>
          <w:color w:val="000000"/>
          <w:sz w:val="24"/>
          <w:szCs w:val="24"/>
          <w:lang w:val="ru-RU"/>
        </w:rPr>
        <w:t>, расположенных во всех населённых пунктах Республики Молдова, в целях налогообложения</w:t>
      </w:r>
      <w:r w:rsidR="00ED54A9" w:rsidRPr="00D64A34">
        <w:rPr>
          <w:color w:val="000000"/>
          <w:sz w:val="24"/>
          <w:szCs w:val="24"/>
          <w:lang w:val="ru-RU"/>
        </w:rPr>
        <w:t xml:space="preserve"> представлены в приложении № 3 настоящего приказа. </w:t>
      </w:r>
    </w:p>
    <w:p w14:paraId="15544C2B" w14:textId="3434CCC6" w:rsidR="005F6F16" w:rsidRPr="00D64A34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  <w:lang w:val="ru-RU"/>
        </w:rPr>
      </w:pPr>
    </w:p>
    <w:sectPr w:rsidR="005F6F16" w:rsidRPr="00D64A34">
      <w:headerReference w:type="default" r:id="rId13"/>
      <w:type w:val="continuous"/>
      <w:pgSz w:w="11906" w:h="16838"/>
      <w:pgMar w:top="1134" w:right="850" w:bottom="1560" w:left="1701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637CE5" w14:textId="77777777" w:rsidR="0068781E" w:rsidRDefault="0068781E">
      <w:r>
        <w:separator/>
      </w:r>
    </w:p>
  </w:endnote>
  <w:endnote w:type="continuationSeparator" w:id="0">
    <w:p w14:paraId="5B87C289" w14:textId="77777777" w:rsidR="0068781E" w:rsidRDefault="006878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905FA99-421C-48CE-993B-3DF882CD44A8}"/>
    <w:embedBold r:id="rId2" w:fontKey="{C33E4D76-F32F-44D6-8370-D694B4B5BA6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189AA84E-3958-43BA-BD51-27EC6342A6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8C0072C1-AEF2-4751-BA96-486E1C917DF4}"/>
    <w:embedBold r:id="rId5" w:fontKey="{C1ED0FB1-F1C7-4D7E-A953-DB3297439CC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B39C7BC-4F21-4734-8D5B-24A3BB7F608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777EF23D-233A-4A4C-B8FF-2E2D1048DE22}"/>
    <w:embedItalic r:id="rId8" w:fontKey="{EF248D0B-B907-469A-A0D4-D919C8190A4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1260FD3-4B1B-47E1-98FE-EB3960DB33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05453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42079" w14:textId="5DD7804E" w:rsidR="005F6F16" w:rsidRDefault="005F6F16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</w:p>
  <w:p w14:paraId="775E9FB0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86B41" w14:textId="77777777" w:rsidR="0068781E" w:rsidRDefault="0068781E">
      <w:r>
        <w:separator/>
      </w:r>
    </w:p>
  </w:footnote>
  <w:footnote w:type="continuationSeparator" w:id="0">
    <w:p w14:paraId="182986F4" w14:textId="77777777" w:rsidR="0068781E" w:rsidRDefault="006878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A5A86" w14:textId="126E4ABF" w:rsidR="005F6F16" w:rsidRDefault="00BA380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  <w:lang w:val="ru-RU"/>
      </w:rPr>
      <w:t>Продолжение Приложения №</w:t>
    </w:r>
    <w:r w:rsidR="006F3F0B">
      <w:rPr>
        <w:color w:val="000000"/>
        <w:sz w:val="24"/>
        <w:szCs w:val="24"/>
      </w:rPr>
      <w:t xml:space="preserve"> 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3A475" w14:textId="7B383B65" w:rsidR="005F6F16" w:rsidRDefault="005F6F16">
    <w:pPr>
      <w:pBdr>
        <w:top w:val="nil"/>
        <w:left w:val="nil"/>
        <w:bottom w:val="nil"/>
        <w:right w:val="nil"/>
        <w:between w:val="nil"/>
      </w:pBdr>
      <w:spacing w:line="276" w:lineRule="auto"/>
      <w:jc w:val="right"/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3FE84" w14:textId="0F861981" w:rsidR="005F6F16" w:rsidRDefault="00BA380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  <w:lang w:val="ru-RU"/>
      </w:rPr>
      <w:t>Продолжение Приложения №</w:t>
    </w:r>
    <w:r w:rsidR="00681444">
      <w:rPr>
        <w:color w:val="000000"/>
        <w:sz w:val="24"/>
        <w:szCs w:val="24"/>
      </w:rPr>
      <w:t xml:space="preserve"> </w:t>
    </w:r>
    <w:r w:rsidR="006F3F0B">
      <w:rPr>
        <w:color w:val="000000"/>
        <w:sz w:val="24"/>
        <w:szCs w:val="24"/>
      </w:rPr>
      <w:t>1</w:t>
    </w:r>
  </w:p>
  <w:p w14:paraId="3967B0DF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23868" w14:textId="1658B035" w:rsidR="005F6F16" w:rsidRDefault="00BA380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  <w:lang w:val="ru-RU"/>
      </w:rPr>
      <w:t>Продолжение Приложения №</w:t>
    </w:r>
    <w:r w:rsidR="00681444">
      <w:rPr>
        <w:color w:val="000000"/>
        <w:sz w:val="24"/>
        <w:szCs w:val="24"/>
      </w:rPr>
      <w:t xml:space="preserve"> </w:t>
    </w:r>
    <w:r w:rsidR="006F3F0B">
      <w:rPr>
        <w:color w:val="000000"/>
        <w:sz w:val="24"/>
        <w:szCs w:val="24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B0165B"/>
    <w:multiLevelType w:val="multilevel"/>
    <w:tmpl w:val="8A42B114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E266462"/>
    <w:multiLevelType w:val="multilevel"/>
    <w:tmpl w:val="B3706E5C"/>
    <w:lvl w:ilvl="0">
      <w:start w:val="1"/>
      <w:numFmt w:val="decimal"/>
      <w:lvlText w:val="%1."/>
      <w:lvlJc w:val="left"/>
      <w:pPr>
        <w:ind w:left="2782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1512" w:hanging="432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944" w:hanging="504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456" w:hanging="935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vertAlign w:val="baseline"/>
      </w:rPr>
    </w:lvl>
  </w:abstractNum>
  <w:num w:numId="1" w16cid:durableId="1592473044">
    <w:abstractNumId w:val="1"/>
  </w:num>
  <w:num w:numId="2" w16cid:durableId="8201911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16"/>
    <w:rsid w:val="00010951"/>
    <w:rsid w:val="000A74AA"/>
    <w:rsid w:val="000A7942"/>
    <w:rsid w:val="000C480C"/>
    <w:rsid w:val="001166B3"/>
    <w:rsid w:val="0019298F"/>
    <w:rsid w:val="00246FAE"/>
    <w:rsid w:val="003B7E25"/>
    <w:rsid w:val="004174BC"/>
    <w:rsid w:val="004450B8"/>
    <w:rsid w:val="0045769D"/>
    <w:rsid w:val="004C2A3D"/>
    <w:rsid w:val="00532E3C"/>
    <w:rsid w:val="005B7043"/>
    <w:rsid w:val="005D01D1"/>
    <w:rsid w:val="005F6F16"/>
    <w:rsid w:val="00631392"/>
    <w:rsid w:val="0065498D"/>
    <w:rsid w:val="00681444"/>
    <w:rsid w:val="0068781E"/>
    <w:rsid w:val="006F3F0B"/>
    <w:rsid w:val="00703A92"/>
    <w:rsid w:val="007351F1"/>
    <w:rsid w:val="00763D53"/>
    <w:rsid w:val="007B7189"/>
    <w:rsid w:val="008E4A06"/>
    <w:rsid w:val="009C58D1"/>
    <w:rsid w:val="009D17D4"/>
    <w:rsid w:val="00A13221"/>
    <w:rsid w:val="00AD4F11"/>
    <w:rsid w:val="00AF4FA8"/>
    <w:rsid w:val="00B52834"/>
    <w:rsid w:val="00B56708"/>
    <w:rsid w:val="00B95040"/>
    <w:rsid w:val="00B96245"/>
    <w:rsid w:val="00BA380B"/>
    <w:rsid w:val="00BA4A88"/>
    <w:rsid w:val="00C43F9B"/>
    <w:rsid w:val="00C570DA"/>
    <w:rsid w:val="00C74541"/>
    <w:rsid w:val="00CC7880"/>
    <w:rsid w:val="00D43B4F"/>
    <w:rsid w:val="00D64A34"/>
    <w:rsid w:val="00D655CB"/>
    <w:rsid w:val="00D74EE6"/>
    <w:rsid w:val="00DA4436"/>
    <w:rsid w:val="00DE442D"/>
    <w:rsid w:val="00E072C1"/>
    <w:rsid w:val="00ED54A9"/>
    <w:rsid w:val="00EF1626"/>
    <w:rsid w:val="00F90C8F"/>
    <w:rsid w:val="00FD4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5A69D9"/>
  <w15:docId w15:val="{0DF30166-240B-4CED-AC3C-5918033B4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1">
    <w:name w:val="Обычный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2"/>
      <w:lang w:val="ro-RO"/>
    </w:rPr>
  </w:style>
  <w:style w:type="paragraph" w:customStyle="1" w:styleId="11">
    <w:name w:val="Заголовок 11"/>
    <w:basedOn w:val="1"/>
    <w:next w:val="1"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  <w:lang w:val="ru-RU"/>
    </w:rPr>
  </w:style>
  <w:style w:type="character" w:customStyle="1" w:styleId="10">
    <w:name w:val="Основной шрифт абзаца1"/>
    <w:qFormat/>
    <w:rPr>
      <w:w w:val="100"/>
      <w:position w:val="-1"/>
      <w:effect w:val="none"/>
      <w:vertAlign w:val="baseline"/>
      <w:cs w:val="0"/>
      <w:em w:val="none"/>
    </w:rPr>
  </w:style>
  <w:style w:type="table" w:customStyle="1" w:styleId="12">
    <w:name w:val="Обычная таблица1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Нет списка1"/>
    <w:qFormat/>
  </w:style>
  <w:style w:type="paragraph" w:customStyle="1" w:styleId="14">
    <w:name w:val="Абзац списка1"/>
    <w:basedOn w:val="1"/>
    <w:pPr>
      <w:ind w:left="720"/>
      <w:contextualSpacing/>
    </w:pPr>
  </w:style>
  <w:style w:type="paragraph" w:customStyle="1" w:styleId="15">
    <w:name w:val="Схема документа1"/>
    <w:basedOn w:val="1"/>
    <w:qFormat/>
    <w:rPr>
      <w:rFonts w:ascii="Tahoma" w:hAnsi="Tahoma"/>
      <w:sz w:val="16"/>
      <w:szCs w:val="16"/>
    </w:rPr>
  </w:style>
  <w:style w:type="character" w:customStyle="1" w:styleId="a">
    <w:name w:val="Схема документа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table" w:customStyle="1" w:styleId="16">
    <w:name w:val="Сетка таблицы1"/>
    <w:basedOn w:val="1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0">
    <w:name w:val="Обычный (веб)"/>
    <w:basedOn w:val="1"/>
    <w:qFormat/>
    <w:pPr>
      <w:spacing w:before="100" w:beforeAutospacing="1" w:after="100" w:afterAutospacing="1"/>
    </w:pPr>
    <w:rPr>
      <w:szCs w:val="24"/>
      <w:lang w:eastAsia="ru-RU"/>
    </w:rPr>
  </w:style>
  <w:style w:type="character" w:customStyle="1" w:styleId="17">
    <w:name w:val="Гиперссылка1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18">
    <w:name w:val="Просмотренная гиперссылка1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xl115">
    <w:name w:val="xl115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Cs w:val="24"/>
      <w:lang w:eastAsia="ru-RU"/>
    </w:rPr>
  </w:style>
  <w:style w:type="paragraph" w:customStyle="1" w:styleId="xl116">
    <w:name w:val="xl116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5E0B3" w:fill="C5E0B3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Cs w:val="24"/>
      <w:lang w:eastAsia="ru-RU"/>
    </w:rPr>
  </w:style>
  <w:style w:type="paragraph" w:customStyle="1" w:styleId="xl117">
    <w:name w:val="xl117"/>
    <w:basedOn w:val="1"/>
    <w:pPr>
      <w:spacing w:before="100" w:beforeAutospacing="1" w:after="100" w:afterAutospacing="1"/>
    </w:pPr>
    <w:rPr>
      <w:rFonts w:ascii="Calibri" w:hAnsi="Calibri" w:cs="Calibri"/>
      <w:szCs w:val="24"/>
      <w:lang w:eastAsia="ru-RU"/>
    </w:rPr>
  </w:style>
  <w:style w:type="paragraph" w:customStyle="1" w:styleId="xl118">
    <w:name w:val="xl118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alibri" w:hAnsi="Calibri" w:cs="Calibri"/>
      <w:szCs w:val="24"/>
      <w:lang w:eastAsia="ru-RU"/>
    </w:rPr>
  </w:style>
  <w:style w:type="paragraph" w:customStyle="1" w:styleId="xl119">
    <w:name w:val="xl119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5E0B3" w:fill="8EAADC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Cs w:val="24"/>
      <w:lang w:eastAsia="ru-RU"/>
    </w:rPr>
  </w:style>
  <w:style w:type="paragraph" w:customStyle="1" w:styleId="19">
    <w:name w:val="Верхний колонтитул1"/>
    <w:basedOn w:val="1"/>
    <w:qFormat/>
  </w:style>
  <w:style w:type="character" w:customStyle="1" w:styleId="a1">
    <w:name w:val="Верхний колонтитул Знак"/>
    <w:basedOn w:val="10"/>
    <w:rPr>
      <w:w w:val="100"/>
      <w:position w:val="-1"/>
      <w:effect w:val="none"/>
      <w:vertAlign w:val="baseline"/>
      <w:cs w:val="0"/>
      <w:em w:val="none"/>
    </w:rPr>
  </w:style>
  <w:style w:type="paragraph" w:customStyle="1" w:styleId="1a">
    <w:name w:val="Нижний колонтитул1"/>
    <w:basedOn w:val="1"/>
    <w:qFormat/>
  </w:style>
  <w:style w:type="character" w:customStyle="1" w:styleId="a2">
    <w:name w:val="Нижний колонтитул Знак"/>
    <w:basedOn w:val="10"/>
    <w:rPr>
      <w:w w:val="100"/>
      <w:position w:val="-1"/>
      <w:effect w:val="none"/>
      <w:vertAlign w:val="baseline"/>
      <w:cs w:val="0"/>
      <w:em w:val="none"/>
    </w:rPr>
  </w:style>
  <w:style w:type="paragraph" w:customStyle="1" w:styleId="1b">
    <w:name w:val="Название объекта1"/>
    <w:basedOn w:val="1"/>
    <w:next w:val="1"/>
    <w:qFormat/>
    <w:pPr>
      <w:spacing w:after="200"/>
    </w:pPr>
    <w:rPr>
      <w:b/>
      <w:bCs/>
      <w:color w:val="4F81BD"/>
      <w:sz w:val="18"/>
      <w:szCs w:val="18"/>
    </w:rPr>
  </w:style>
  <w:style w:type="character" w:customStyle="1" w:styleId="1c">
    <w:name w:val="Знак примечания1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1d">
    <w:name w:val="Текст примечания1"/>
    <w:basedOn w:val="1"/>
    <w:qFormat/>
    <w:rPr>
      <w:sz w:val="20"/>
      <w:szCs w:val="20"/>
    </w:rPr>
  </w:style>
  <w:style w:type="character" w:customStyle="1" w:styleId="a3">
    <w:name w:val="Текст примечания Знак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customStyle="1" w:styleId="1e">
    <w:name w:val="Тема примечания1"/>
    <w:basedOn w:val="1d"/>
    <w:next w:val="1d"/>
    <w:qFormat/>
    <w:rPr>
      <w:b/>
      <w:bCs/>
    </w:rPr>
  </w:style>
  <w:style w:type="character" w:customStyle="1" w:styleId="a4">
    <w:name w:val="Тема примечания Знак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customStyle="1" w:styleId="1f">
    <w:name w:val="Текст выноски1"/>
    <w:basedOn w:val="1"/>
    <w:qFormat/>
    <w:rPr>
      <w:rFonts w:ascii="Tahoma" w:hAnsi="Tahoma"/>
      <w:sz w:val="16"/>
      <w:szCs w:val="16"/>
    </w:rPr>
  </w:style>
  <w:style w:type="character" w:customStyle="1" w:styleId="a5">
    <w:name w:val="Текст выноски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msonormal0">
    <w:name w:val="msonormal"/>
    <w:basedOn w:val="1"/>
    <w:pPr>
      <w:spacing w:before="100" w:beforeAutospacing="1" w:after="100" w:afterAutospacing="1"/>
    </w:pPr>
    <w:rPr>
      <w:szCs w:val="24"/>
    </w:rPr>
  </w:style>
  <w:style w:type="paragraph" w:customStyle="1" w:styleId="xl124">
    <w:name w:val="xl124"/>
    <w:basedOn w:val="1"/>
    <w:pPr>
      <w:spacing w:before="100" w:beforeAutospacing="1" w:after="100" w:afterAutospacing="1"/>
      <w:jc w:val="center"/>
    </w:pPr>
    <w:rPr>
      <w:szCs w:val="24"/>
    </w:rPr>
  </w:style>
  <w:style w:type="character" w:customStyle="1" w:styleId="1f0">
    <w:name w:val="Замещающий текст1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xl120">
    <w:name w:val="xl120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21">
    <w:name w:val="xl121"/>
    <w:basedOn w:val="1"/>
    <w:pP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22">
    <w:name w:val="xl122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23">
    <w:name w:val="xl123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5">
    <w:name w:val="xl125"/>
    <w:basedOn w:val="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6">
    <w:name w:val="xl126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val="ro-MD" w:eastAsia="ro-MD"/>
    </w:rPr>
  </w:style>
  <w:style w:type="paragraph" w:customStyle="1" w:styleId="xl127">
    <w:name w:val="xl127"/>
    <w:basedOn w:val="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8">
    <w:name w:val="xl128"/>
    <w:basedOn w:val="1"/>
    <w:pP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9">
    <w:name w:val="xl129"/>
    <w:basedOn w:val="1"/>
    <w:pP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30">
    <w:name w:val="xl130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1">
    <w:name w:val="xl131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2">
    <w:name w:val="xl132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3">
    <w:name w:val="xl133"/>
    <w:basedOn w:val="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4">
    <w:name w:val="xl134"/>
    <w:basedOn w:val="1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5">
    <w:name w:val="xl135"/>
    <w:basedOn w:val="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6">
    <w:name w:val="xl136"/>
    <w:basedOn w:val="1"/>
    <w:pPr>
      <w:spacing w:before="100" w:beforeAutospacing="1" w:after="100" w:afterAutospacing="1"/>
      <w:textAlignment w:val="center"/>
    </w:pPr>
    <w:rPr>
      <w:b/>
      <w:bCs/>
      <w:szCs w:val="24"/>
      <w:lang w:val="ro-MD" w:eastAsia="ro-MD"/>
    </w:rPr>
  </w:style>
  <w:style w:type="paragraph" w:customStyle="1" w:styleId="1f1">
    <w:name w:val="Рецензия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2"/>
      <w:lang w:val="ru-RU"/>
    </w:rPr>
  </w:style>
  <w:style w:type="character" w:customStyle="1" w:styleId="1f2">
    <w:name w:val="Заголовок 1 Знак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val="ru-RU" w:eastAsia="en-US"/>
    </w:rPr>
  </w:style>
  <w:style w:type="paragraph" w:customStyle="1" w:styleId="1f3">
    <w:name w:val="Заголовок оглавления1"/>
    <w:basedOn w:val="11"/>
    <w:next w:val="1"/>
    <w:qFormat/>
    <w:pPr>
      <w:keepLines/>
      <w:spacing w:after="0" w:line="259" w:lineRule="auto"/>
      <w:outlineLvl w:val="9"/>
    </w:pPr>
    <w:rPr>
      <w:b w:val="0"/>
      <w:bCs w:val="0"/>
      <w:color w:val="2F5496"/>
      <w:kern w:val="0"/>
      <w:lang w:val="ro-RO" w:eastAsia="ro-RO"/>
    </w:rPr>
  </w:style>
  <w:style w:type="paragraph" w:customStyle="1" w:styleId="1f4">
    <w:name w:val="Текст сноски1"/>
    <w:basedOn w:val="1"/>
    <w:qFormat/>
    <w:rPr>
      <w:sz w:val="20"/>
      <w:szCs w:val="20"/>
      <w:lang w:val="ru-RU"/>
    </w:rPr>
  </w:style>
  <w:style w:type="character" w:customStyle="1" w:styleId="a6">
    <w:name w:val="Текст сноски Знак"/>
    <w:rPr>
      <w:w w:val="100"/>
      <w:position w:val="-1"/>
      <w:effect w:val="none"/>
      <w:vertAlign w:val="baseline"/>
      <w:cs w:val="0"/>
      <w:em w:val="none"/>
      <w:lang w:val="ru-RU" w:eastAsia="en-US"/>
    </w:rPr>
  </w:style>
  <w:style w:type="character" w:customStyle="1" w:styleId="1f5">
    <w:name w:val="Знак сноски1"/>
    <w:qFormat/>
    <w:rPr>
      <w:w w:val="100"/>
      <w:position w:val="-1"/>
      <w:effect w:val="none"/>
      <w:vertAlign w:val="superscript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8144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1444"/>
  </w:style>
  <w:style w:type="paragraph" w:styleId="Footer">
    <w:name w:val="footer"/>
    <w:basedOn w:val="Normal"/>
    <w:link w:val="FooterChar"/>
    <w:uiPriority w:val="99"/>
    <w:unhideWhenUsed/>
    <w:rsid w:val="00681444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1444"/>
  </w:style>
  <w:style w:type="paragraph" w:styleId="ListParagraph">
    <w:name w:val="List Paragraph"/>
    <w:basedOn w:val="Normal"/>
    <w:uiPriority w:val="34"/>
    <w:qFormat/>
    <w:rsid w:val="00ED54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kUs9DOVly24i7wMuG0m4wNJCyg==">CgMxLjA4AHIhMVFrRkM5SlRmemFfWnR3ZjFpeGtTbU1JakhncGxsT1Zw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504</TotalTime>
  <Pages>5</Pages>
  <Words>1623</Words>
  <Characters>9253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apaladi</dc:creator>
  <cp:lastModifiedBy>Ion Corobceanu</cp:lastModifiedBy>
  <cp:revision>22</cp:revision>
  <cp:lastPrinted>2025-08-26T06:50:00Z</cp:lastPrinted>
  <dcterms:created xsi:type="dcterms:W3CDTF">2025-07-29T15:45:00Z</dcterms:created>
  <dcterms:modified xsi:type="dcterms:W3CDTF">2025-09-01T07:31:00Z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0x0101003AA85580E31E244299F0AC77212BEDED</vt:lpwstr>
  </property>
</Properties>
</file>