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58" w:type="pct"/>
        <w:tblCellSpacing w:w="0" w:type="dxa"/>
        <w:tblInd w:w="-1418" w:type="dxa"/>
        <w:tblCellMar>
          <w:left w:w="0" w:type="dxa"/>
          <w:right w:w="0" w:type="dxa"/>
        </w:tblCellMar>
        <w:tblLook w:val="04A0"/>
      </w:tblPr>
      <w:tblGrid>
        <w:gridCol w:w="10064"/>
        <w:gridCol w:w="60"/>
        <w:gridCol w:w="649"/>
      </w:tblGrid>
      <w:tr w:rsidR="00D95C30" w:rsidRPr="00D95C30" w:rsidTr="00357922">
        <w:trPr>
          <w:trHeight w:val="780"/>
          <w:tblCellSpacing w:w="0" w:type="dxa"/>
          <w:hidden/>
        </w:trPr>
        <w:tc>
          <w:tcPr>
            <w:tcW w:w="5000" w:type="pct"/>
            <w:gridSpan w:val="3"/>
            <w:shd w:val="clear" w:color="auto" w:fill="FFFFFF"/>
            <w:hideMark/>
          </w:tcPr>
          <w:p w:rsidR="00D95C30" w:rsidRPr="00D95C30" w:rsidRDefault="00D95C30" w:rsidP="00D95C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D95C30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D95C30" w:rsidRPr="00D95C30" w:rsidRDefault="00D95C30" w:rsidP="00D9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5C30">
              <w:rPr>
                <w:rFonts w:ascii="Arial" w:eastAsia="Times New Roman" w:hAnsi="Arial" w:cs="Arial"/>
                <w:b/>
                <w:bCs/>
                <w:smallCaps/>
                <w:color w:val="35434D"/>
                <w:sz w:val="24"/>
                <w:u w:val="single"/>
                <w:lang w:eastAsia="ru-RU"/>
              </w:rPr>
              <w:t xml:space="preserve">Счетчики воды и тепла </w:t>
            </w:r>
            <w:proofErr w:type="spellStart"/>
            <w:r w:rsidRPr="00D95C30">
              <w:rPr>
                <w:rFonts w:ascii="Arial" w:eastAsia="Times New Roman" w:hAnsi="Arial" w:cs="Arial"/>
                <w:b/>
                <w:bCs/>
                <w:smallCaps/>
                <w:color w:val="35434D"/>
                <w:sz w:val="24"/>
                <w:u w:val="single"/>
                <w:lang w:eastAsia="ru-RU"/>
              </w:rPr>
              <w:t>крыльчатые</w:t>
            </w:r>
            <w:proofErr w:type="spellEnd"/>
            <w:r w:rsidRPr="00D95C30">
              <w:rPr>
                <w:rFonts w:ascii="Arial" w:eastAsia="Times New Roman" w:hAnsi="Arial" w:cs="Arial"/>
                <w:b/>
                <w:bCs/>
                <w:smallCaps/>
                <w:color w:val="35434D"/>
                <w:sz w:val="24"/>
                <w:u w:val="single"/>
                <w:lang w:eastAsia="ru-RU"/>
              </w:rPr>
              <w:t xml:space="preserve"> </w:t>
            </w:r>
            <w:proofErr w:type="spellStart"/>
            <w:r w:rsidRPr="00D95C30">
              <w:rPr>
                <w:rFonts w:ascii="Arial" w:eastAsia="Times New Roman" w:hAnsi="Arial" w:cs="Arial"/>
                <w:b/>
                <w:bCs/>
                <w:smallCaps/>
                <w:color w:val="35434D"/>
                <w:sz w:val="24"/>
                <w:u w:val="single"/>
                <w:lang w:eastAsia="ru-RU"/>
              </w:rPr>
              <w:t>сухоходные</w:t>
            </w:r>
            <w:proofErr w:type="spellEnd"/>
          </w:p>
          <w:p w:rsidR="00D95C30" w:rsidRPr="00D95C30" w:rsidRDefault="00D95C30" w:rsidP="00D95C3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D95C30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  <w:tr w:rsidR="00D95C30" w:rsidRPr="00D95C30" w:rsidTr="00357922">
        <w:trPr>
          <w:tblCellSpacing w:w="0" w:type="dxa"/>
        </w:trPr>
        <w:tc>
          <w:tcPr>
            <w:tcW w:w="4674" w:type="pct"/>
            <w:shd w:val="clear" w:color="auto" w:fill="FFFFFF"/>
            <w:vAlign w:val="center"/>
            <w:hideMark/>
          </w:tcPr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удовлетворения расширенных потребностей организаций водоснабжения при больших объемах потребления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особенности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Одноструйный счетчик класса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Герметизированный отсчетный механизм (медный кожух со стеклом)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Запатентованная шаровая опора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Широкий диапазон измерений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Счетчик </w:t>
            </w:r>
            <w:r w:rsidRPr="0089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89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89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M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представляет собой одноструйный счетчик класса С. В наличии имеются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счетчики типоразмеров от Dу40 до Dу100. По своим метрологическим параметрам счетчик 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превосходит требования стандарта ISO/EEC для счетчиков класса С. Благодаря сочетанию точности при малых расходах и способности работать при пиковых значениях расхода счетчик гарантирует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полноту и эффективность учета при любых величинах расхода.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Надежность работы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счетчике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M” имеется магнитная передача между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турбинкой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отсчетным механизмом и поэтому в потоке воды не располагаются никакие промежуточные передаточные элементы.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результате получена прочная и надежная конструкция, способная выдерживать почти все возможные условия в отношении качества питьевой воды.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Простота считывания показаний в самых тяжелых условиях эксплуатации (даже в затопленных колодцах) обеспечивается благодаря герметичности отсчетного механизма (помещен в медный кожух со стеклом). </w:t>
            </w:r>
            <w:proofErr w:type="gramEnd"/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Стабильность метрологических параметров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Основанные на 15-летнем опыте компании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Actaris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разработки и производства одноструйных счетчиков, метрологические рабочие параметры гарантируются за счет самой конструкции и использования высококачественных деталей, что делает ненужной внешнюю калибровку. Этим обеспечивается высокая стабильность метрологических параметров счетчика.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Прочность и устойчивость при пиковых значениях расхода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1333500"/>
                  <wp:effectExtent l="0" t="0" r="0" b="0"/>
                  <wp:docPr id="11" name="Рисунок 11" descr="http://www.kip-pribor.ru/pictures/707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kip-pribor.ru/pictures/707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Сохранение рабочих параметров на протяжении большого периода времени является главным требованием в целях обеспечения эффективного коммерческого учета. В счетчике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M” установлена патентованная шаровая опора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турбинки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благодаря этому обеспечивается усиленная устойчивость показаний при малых величинах расхода. Гидродинамический баланс и конструкция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турбинки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обеспечивают надежность при больших и пиковых значениях расхода.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Принцип действия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Счетчик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M” – это одноструйный прибор. Струя воды направляется инжектором еще до того, как она попадет на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турбинку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Одноструйный конусный инжектор выпрямляет профиль потока. Благодаря его большому диаметру предотвращается чрезмерно быстрое вращение счетчика при засорении.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43525" cy="2743200"/>
                  <wp:effectExtent l="0" t="0" r="0" b="0"/>
                  <wp:docPr id="12" name="Рисунок 12" descr="http://www.kip-pribor.ru/pictures/707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kip-pribor.ru/pictures/707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25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Сетчатый фильтр ставится только на счетчики с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Dу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40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Высокоточная обработка входного отверстия счетчика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M” (1) обеспечивает соответствие классу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 этом нет необходимости устанавливать байпас или систему с калибровочными лопастями. Вращение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турбинки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непосредственно передается на особо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сухоходный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отсчетный механизм с помощью магнитной муфты, при этом отпадает нужда в промежуточных передаточных элементах (2), располагаемых в потоке измеряемой жидкости. В результате этого счетчик обеспечивает высокую точность при первоначальной установке и на протяжении длительной эксплуатации при самых разнообразных монтажных конфигурациях и при различном качестве воды. Высококачественные материалы опор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турбинки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запатентованная конструкция шаровой опоры оси (3) обеспечивают измерение утечек в начале эксплуатации и на протяжении длительного срока службы независимо от профиля потока жидкости.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Герметичный кожух из меди со стеклянным окном, в котором размещен отсчетный механизм, защищает показания и обеспечивает целостность механизма индикации при самых тяжелых условиях эксплуатации (в затопленных колодцах, при попытках механического воздействия на счетчик и т.д.).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 связи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38375" cy="1571625"/>
                  <wp:effectExtent l="0" t="0" r="0" b="0"/>
                  <wp:docPr id="13" name="Рисунок 13" descr="http://www.kip-pribor.ru/pictures/707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kip-pribor.ru/pictures/707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Счетчики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M” поставляются с предварительно установленным блоком радиосвязи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Cyble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Target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”.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Этот блок обеспечивает связь и дистанционное снятие показаний с помощью: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импульсного выхода 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датчик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Cyble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”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протокола шины “М” 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шина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Cyble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M-bus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”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блока радиочастотной связи 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Cyble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RF”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Данные модули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Cyble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дают возможность подключения счетчика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M” к различным смежным системам в случае такой необходимости. Они особенно подходят для коммерческого и промышленного применения, когда имеется необходимость частого 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счетчиком, особенно в труднодоступных местах.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преимущества технологии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Cyble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1676400"/>
                  <wp:effectExtent l="0" t="0" r="0" b="0"/>
                  <wp:docPr id="14" name="Рисунок 14" descr="http://www.kip-pribor.ru/pictures/707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kip-pribor.ru/pictures/707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требуется осуществлять дополнительные вложения сре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сч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етчик для осуществления дистанционного снятия показаний.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стандартного интерфейса фирмы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Актарис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независимо от исполнения счетчика, широко используемого во всей номенклатуре счетчиков фирмы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Актарис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Надежность в работе благодаря применению электронного выключателя (нет износа и дрожания контактов)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Регулирование обратного потока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работы проверен в реальной эксплуатации на протяжении 20 лет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элементы оснащения не подвержены воздействию магнитов при попытках нарушения работы.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Метрологические характеристики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Значения рабочих параметров </w:t>
            </w:r>
          </w:p>
          <w:tbl>
            <w:tblPr>
              <w:tblW w:w="4000" w:type="pct"/>
              <w:tblCellSpacing w:w="7" w:type="dxa"/>
              <w:shd w:val="clear" w:color="auto" w:fill="999999"/>
              <w:tblCellMar>
                <w:left w:w="0" w:type="dxa"/>
                <w:right w:w="0" w:type="dxa"/>
              </w:tblCellMar>
              <w:tblLook w:val="04A0"/>
            </w:tblPr>
            <w:tblGrid>
              <w:gridCol w:w="2401"/>
              <w:gridCol w:w="1298"/>
              <w:gridCol w:w="666"/>
              <w:gridCol w:w="985"/>
              <w:gridCol w:w="985"/>
              <w:gridCol w:w="1035"/>
              <w:gridCol w:w="681"/>
            </w:tblGrid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Номинальный диаметр (</w:t>
                  </w:r>
                  <w:proofErr w:type="spellStart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Ду</w:t>
                  </w:r>
                  <w:proofErr w:type="spellEnd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50/65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65/80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80/100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100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дюймы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1" 1/2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2" или 2" 1/2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2" 1/2 или 3"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3" или 4"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4"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Пусковой расход *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35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50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70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Точность +/- 2% </w:t>
                  </w: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*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35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50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70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Точность +/- 5% </w:t>
                  </w: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*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65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80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120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180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200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Допустимый пиковый расход (2 часа макс.) **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³/ч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50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60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90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120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Макс. температура в течение короткого периода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градусы Цельсия 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60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Макс. допустимое давление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бар 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Весовое значение HF импульса датчика “</w:t>
                  </w:r>
                  <w:proofErr w:type="spellStart"/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yble</w:t>
                  </w:r>
                  <w:proofErr w:type="spell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”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L 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10 </w:t>
                  </w:r>
                </w:p>
              </w:tc>
            </w:tr>
          </w:tbl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- среднее значение; ** - без влияния на точность 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Сертифицированные величины по EEC/ISO </w:t>
            </w:r>
          </w:p>
          <w:tbl>
            <w:tblPr>
              <w:tblW w:w="4000" w:type="pct"/>
              <w:tblCellSpacing w:w="7" w:type="dxa"/>
              <w:shd w:val="clear" w:color="auto" w:fill="999999"/>
              <w:tblCellMar>
                <w:left w:w="0" w:type="dxa"/>
                <w:right w:w="0" w:type="dxa"/>
              </w:tblCellMar>
              <w:tblLook w:val="04A0"/>
            </w:tblPr>
            <w:tblGrid>
              <w:gridCol w:w="2112"/>
              <w:gridCol w:w="1246"/>
              <w:gridCol w:w="913"/>
              <w:gridCol w:w="1151"/>
              <w:gridCol w:w="935"/>
              <w:gridCol w:w="1013"/>
              <w:gridCol w:w="681"/>
            </w:tblGrid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Номинальный диаметр (</w:t>
                  </w:r>
                  <w:proofErr w:type="spellStart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Ду</w:t>
                  </w:r>
                  <w:proofErr w:type="spellEnd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50/65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65/80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80/100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100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дюймы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1" 1/2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2" или 2" 1/2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2" 1/2 или 3"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3" или 4"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4"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Класс по стандарту EEC/ISO </w:t>
                  </w:r>
                </w:p>
              </w:tc>
              <w:tc>
                <w:tcPr>
                  <w:tcW w:w="0" w:type="auto"/>
                  <w:gridSpan w:val="6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Класс</w:t>
                  </w: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горизонтальное положение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Номинальный расход, </w:t>
                  </w:r>
                  <w:proofErr w:type="spellStart"/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Q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ном</w:t>
                  </w:r>
                  <w:proofErr w:type="spell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³/ч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50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Максимальный расход, </w:t>
                  </w:r>
                  <w:proofErr w:type="spell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Q</w:t>
                  </w: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ax</w:t>
                  </w:r>
                  <w:proofErr w:type="spell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³/ч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60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100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Точность +/- 2% </w:t>
                  </w: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по классу</w:t>
                  </w: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Qt</w:t>
                  </w:r>
                  <w:proofErr w:type="spell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л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150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225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300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450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750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Точность +/- 5% по классу</w:t>
                  </w: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Qmin</w:t>
                  </w:r>
                  <w:proofErr w:type="spell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/ч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100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90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120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180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300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Давление при испытаниях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бар 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25 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32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Макс. температура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градусы Цельсия 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30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Перепад давления в группе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бар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0,6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Минимальная цена деления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0,5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Предел значения индикации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³ 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999 999,99 </w:t>
                  </w:r>
                </w:p>
              </w:tc>
            </w:tr>
            <w:tr w:rsidR="00D95C30" w:rsidRPr="00357922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Сертификат утверждения по EEC/ISO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F98.00.382.003.0 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C30" w:rsidRPr="00357922" w:rsidRDefault="00D95C30" w:rsidP="00D95C30">
                  <w:pPr>
                    <w:spacing w:before="100" w:beforeAutospacing="1" w:after="100" w:afterAutospacing="1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79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F97.00.382.004.0 </w:t>
                  </w:r>
                </w:p>
              </w:tc>
            </w:tr>
          </w:tbl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по другим позициям счетчики с Dу65, 80 и 100 сертифицированы по классу B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Типовая кривая точности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38775" cy="2152650"/>
                  <wp:effectExtent l="19050" t="0" r="9525" b="0"/>
                  <wp:docPr id="15" name="Рисунок 15" descr="http://www.kip-pribor.ru/pictures/707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kip-pribor.ru/pictures/707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Варианты исполнения и дополнительное оснащение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Счетчики с </w:t>
            </w:r>
            <w:proofErr w:type="spellStart"/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15, 20 и 30 м3/час могут поставляться с верхним значением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Dу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фланцами для облегчения выбора типоразмера на месте монтажа (подбор по реальной величине расхода)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Возможна поставка с металлическим колпаком с проволочной пломбой и запираемой крышкой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исполнение для горячей воды (90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 </w:t>
            </w:r>
            <w:proofErr w:type="spellStart"/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 и 50 (с пластмассовым отсчетным устройством)</w: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86900"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alt="" style="width:24pt;height:24pt"/>
              </w:pict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Dу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 и 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 – вариант с металлическим колпаком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монтажу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оптимальной работы счетчик “</w:t>
            </w:r>
            <w:proofErr w:type="spell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Flostar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M” необходимо устанавливать в горизонтальном положении с отсчетным механизмом обращенным вверх (класс</w:t>
            </w:r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горизонтальное исполнение).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Рекомендуется перед счетчиком устанавливать сетчатый фильтр для защиты гидравлических элементов от грубых частиц, могущих попасть в систему при проведении ремонта сети, в результате коррозии труб и т.д. (счетчик с </w:t>
            </w:r>
            <w:proofErr w:type="spellStart"/>
            <w:proofErr w:type="gramStart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 стандартно поставляется с фильтром, а по запросу может поставляться с обратным клапаном).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Перепад давления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333875" cy="2867025"/>
                  <wp:effectExtent l="19050" t="0" r="9525" b="0"/>
                  <wp:docPr id="17" name="Рисунок 17" descr="http://www.kip-pribor.ru/pictures/707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kip-pribor.ru/pictures/707_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Габаритный чертеж </w:t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572000" cy="4781550"/>
                  <wp:effectExtent l="19050" t="0" r="0" b="0"/>
                  <wp:docPr id="18" name="Рисунок 18" descr="http://www.kip-pribor.ru/pictures/707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kip-pribor.ru/pictures/707_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78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C30" w:rsidRPr="00357922" w:rsidRDefault="00D95C30" w:rsidP="00D95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5C30" w:rsidRPr="00357922" w:rsidRDefault="00D95C30" w:rsidP="00D95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4" w:type="pct"/>
            <w:shd w:val="clear" w:color="auto" w:fill="FFFFFF"/>
            <w:vAlign w:val="center"/>
            <w:hideMark/>
          </w:tcPr>
          <w:p w:rsidR="00D95C30" w:rsidRPr="00357922" w:rsidRDefault="00D95C30" w:rsidP="00D95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C30" w:rsidRPr="00D95C30" w:rsidTr="00357922">
        <w:trPr>
          <w:tblCellSpacing w:w="0" w:type="dxa"/>
        </w:trPr>
        <w:tc>
          <w:tcPr>
            <w:tcW w:w="5000" w:type="pct"/>
            <w:gridSpan w:val="3"/>
            <w:shd w:val="clear" w:color="auto" w:fill="FFFFFF"/>
            <w:vAlign w:val="center"/>
            <w:hideMark/>
          </w:tcPr>
          <w:p w:rsidR="00D95C30" w:rsidRPr="00357922" w:rsidRDefault="00D95C30" w:rsidP="00D95C30">
            <w:pPr>
              <w:spacing w:before="100" w:beforeAutospacing="1" w:after="100" w:afterAutospacing="1" w:line="18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4"/>
                <w:szCs w:val="24"/>
                <w:lang w:eastAsia="ru-RU"/>
              </w:rPr>
            </w:pPr>
            <w:r w:rsidRPr="00357922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D95C30" w:rsidRPr="00357922" w:rsidRDefault="00D95C30" w:rsidP="00D95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0ABF" w:rsidRDefault="00950ABF"/>
    <w:sectPr w:rsidR="00950ABF" w:rsidSect="0095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C30"/>
    <w:rsid w:val="00357922"/>
    <w:rsid w:val="00486900"/>
    <w:rsid w:val="008929B2"/>
    <w:rsid w:val="00950ABF"/>
    <w:rsid w:val="00D9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BF"/>
  </w:style>
  <w:style w:type="paragraph" w:styleId="3">
    <w:name w:val="heading 3"/>
    <w:basedOn w:val="a"/>
    <w:link w:val="30"/>
    <w:uiPriority w:val="9"/>
    <w:qFormat/>
    <w:rsid w:val="00D95C30"/>
    <w:pPr>
      <w:spacing w:before="100" w:beforeAutospacing="1" w:after="100" w:afterAutospacing="1" w:line="180" w:lineRule="atLeast"/>
      <w:outlineLvl w:val="2"/>
    </w:pPr>
    <w:rPr>
      <w:rFonts w:ascii="Arial" w:eastAsia="Times New Roman" w:hAnsi="Arial" w:cs="Arial"/>
      <w:b/>
      <w:bCs/>
      <w:smallCaps/>
      <w:color w:val="333333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C30"/>
    <w:rPr>
      <w:rFonts w:ascii="Arial" w:eastAsia="Times New Roman" w:hAnsi="Arial" w:cs="Arial"/>
      <w:b/>
      <w:bCs/>
      <w:smallCaps/>
      <w:color w:val="333333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5C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95C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main1">
    <w:name w:val="head_main1"/>
    <w:basedOn w:val="a0"/>
    <w:rsid w:val="00D95C30"/>
    <w:rPr>
      <w:rFonts w:ascii="Arial" w:hAnsi="Arial" w:cs="Arial" w:hint="default"/>
      <w:b/>
      <w:bCs/>
      <w:smallCaps/>
      <w:color w:val="35434D"/>
      <w:sz w:val="24"/>
      <w:szCs w:val="24"/>
      <w:u w:val="single"/>
    </w:rPr>
  </w:style>
  <w:style w:type="paragraph" w:styleId="a3">
    <w:name w:val="Normal (Web)"/>
    <w:basedOn w:val="a"/>
    <w:uiPriority w:val="99"/>
    <w:unhideWhenUsed/>
    <w:rsid w:val="00D9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95C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95C3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D95C30"/>
    <w:rPr>
      <w:b/>
      <w:bCs/>
    </w:rPr>
  </w:style>
  <w:style w:type="character" w:styleId="a5">
    <w:name w:val="Emphasis"/>
    <w:basedOn w:val="a0"/>
    <w:uiPriority w:val="20"/>
    <w:qFormat/>
    <w:rsid w:val="00D95C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1107</Words>
  <Characters>6313</Characters>
  <Application>Microsoft Office Word</Application>
  <DocSecurity>0</DocSecurity>
  <Lines>52</Lines>
  <Paragraphs>14</Paragraphs>
  <ScaleCrop>false</ScaleCrop>
  <Company>AMAC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Larionov_user</cp:lastModifiedBy>
  <cp:revision>3</cp:revision>
  <dcterms:created xsi:type="dcterms:W3CDTF">2012-05-15T05:19:00Z</dcterms:created>
  <dcterms:modified xsi:type="dcterms:W3CDTF">2012-05-15T10:38:00Z</dcterms:modified>
</cp:coreProperties>
</file>