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955"/>
        <w:gridCol w:w="2400"/>
      </w:tblGrid>
      <w:tr w:rsidR="00FC52B4" w:rsidRPr="00972C8F" w:rsidTr="00FC52B4">
        <w:trPr>
          <w:tblCellSpacing w:w="0" w:type="dxa"/>
        </w:trPr>
        <w:tc>
          <w:tcPr>
            <w:tcW w:w="4950" w:type="pct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разъяснения о порядке применения пункта 2 приложения 5 к Закону о бюджете государственного социального страхования на 2010 год № 129- XVIII от 23 декабря 2009 года</w:t>
            </w:r>
          </w:p>
        </w:tc>
        <w:tc>
          <w:tcPr>
            <w:tcW w:w="2250" w:type="dxa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70"/>
              <w:gridCol w:w="780"/>
            </w:tblGrid>
            <w:tr w:rsidR="00FC52B4" w:rsidRPr="00972C8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52B4" w:rsidRPr="00972C8F" w:rsidRDefault="00FC52B4" w:rsidP="00FC5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C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Текст: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C52B4" w:rsidRPr="00972C8F" w:rsidRDefault="00FC52B4" w:rsidP="00FC5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C8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350" cy="209550"/>
                        <wp:effectExtent l="19050" t="0" r="0" b="0"/>
                        <wp:docPr id="1" name="Рисунок 1" descr="http://www.cnas.md/img/a.gif">
                          <a:hlinkClick xmlns:a="http://schemas.openxmlformats.org/drawingml/2006/main" r:id="rId4" tooltip="&quot;Increase font-siz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nas.md/img/a.gif">
                                  <a:hlinkClick r:id="rId4" tooltip="&quot;Increase font-siz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2C8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350" cy="209550"/>
                        <wp:effectExtent l="19050" t="0" r="0" b="0"/>
                        <wp:docPr id="2" name="Рисунок 2" descr="http://www.cnas.md/img/aa.gif">
                          <a:hlinkClick xmlns:a="http://schemas.openxmlformats.org/drawingml/2006/main" r:id="rId4" tooltip="&quot;Decrease font-siz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cnas.md/img/aa.gif">
                                  <a:hlinkClick r:id="rId4" tooltip="&quot;Decrease font-siz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2C8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350" cy="209550"/>
                        <wp:effectExtent l="19050" t="0" r="0" b="0"/>
                        <wp:docPr id="3" name="Рисунок 3" descr="http://www.cnas.md/img/aaa.gif">
                          <a:hlinkClick xmlns:a="http://schemas.openxmlformats.org/drawingml/2006/main" r:id="rId4" tooltip="&quot;Restore default font-siz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cnas.md/img/aaa.gif">
                                  <a:hlinkClick r:id="rId4" tooltip="&quot;Restore default font-siz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52B4" w:rsidRPr="00972C8F" w:rsidRDefault="0028104E" w:rsidP="00FC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FC52B4" w:rsidRPr="00972C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Печать</w:t>
              </w:r>
            </w:hyperlink>
          </w:p>
          <w:p w:rsidR="00FC52B4" w:rsidRPr="00972C8F" w:rsidRDefault="00FC52B4" w:rsidP="00FC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http://www.cnas.md/img/ico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nas.md/img/ico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2B4" w:rsidRPr="00972C8F" w:rsidRDefault="00FC52B4" w:rsidP="00FC5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0" cy="9525"/>
                  <wp:effectExtent l="0" t="0" r="0" b="0"/>
                  <wp:docPr id="5" name="Рисунок 5" descr="http://www.cnas.md/img/v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nas.md/img/v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2B4" w:rsidRPr="00972C8F" w:rsidRDefault="00FC52B4" w:rsidP="00FC52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52B4" w:rsidRPr="00972C8F" w:rsidTr="00FC52B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76200"/>
                  <wp:effectExtent l="0" t="0" r="0" b="0"/>
                  <wp:docPr id="6" name="Рисунок 6" descr="http://www.cnas.md/img/v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nas.md/img/v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B4" w:rsidRPr="00972C8F" w:rsidTr="00FC52B4">
        <w:trPr>
          <w:tblCellSpacing w:w="0" w:type="dxa"/>
        </w:trPr>
        <w:tc>
          <w:tcPr>
            <w:tcW w:w="0" w:type="auto"/>
            <w:shd w:val="clear" w:color="auto" w:fill="853618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9525"/>
                  <wp:effectExtent l="0" t="0" r="0" b="0"/>
                  <wp:docPr id="7" name="Рисунок 7" descr="http://www.cnas.md/img/v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nas.md/img/v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B4" w:rsidRPr="00972C8F" w:rsidTr="00FC52B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76200"/>
                  <wp:effectExtent l="0" t="0" r="0" b="0"/>
                  <wp:docPr id="8" name="Рисунок 8" descr="http://www.cnas.md/img/v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nas.md/img/v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2B4" w:rsidRPr="00972C8F" w:rsidRDefault="00FC52B4" w:rsidP="00FC52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03"/>
      </w:tblGrid>
      <w:tr w:rsidR="00FC52B4" w:rsidRPr="00972C8F" w:rsidTr="00FC52B4">
        <w:trPr>
          <w:tblCellSpacing w:w="22" w:type="dxa"/>
        </w:trPr>
        <w:tc>
          <w:tcPr>
            <w:tcW w:w="0" w:type="auto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52B4" w:rsidRPr="00972C8F" w:rsidRDefault="00FC52B4" w:rsidP="00FC52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52B4" w:rsidRPr="00972C8F" w:rsidTr="00FC52B4">
        <w:trPr>
          <w:tblCellSpacing w:w="0" w:type="dxa"/>
        </w:trPr>
        <w:tc>
          <w:tcPr>
            <w:tcW w:w="0" w:type="auto"/>
            <w:hideMark/>
          </w:tcPr>
          <w:p w:rsidR="00FC52B4" w:rsidRPr="00972C8F" w:rsidRDefault="00FC52B4" w:rsidP="00FC52B4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Методические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разъяснения о порядке применения пункта 2 приложения 5 к Закону о бюджете государственного социального страхования на 2010 год № 129-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XVIII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23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декабря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 2009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года</w:t>
            </w:r>
          </w:p>
          <w:p w:rsidR="00FC52B4" w:rsidRPr="00972C8F" w:rsidRDefault="00FC52B4" w:rsidP="00FC52B4">
            <w:pPr>
              <w:spacing w:before="100" w:beforeAutospacing="1" w:after="100" w:afterAutospacing="1" w:line="270" w:lineRule="atLeast"/>
              <w:ind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Настоящие методические разъяснения разработаны с целью регламентировать применение пункта 2 приложения 5 к Закону о бюджете государственного социального страхования на 2010 год, в котором установлено, что взносы обязательного государственного социального страхования (включая индивидуальные взносы обязательного 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государственного социального страхования в размере 6 % заработной платы и других выплат, осуществлённых работодателем работнику или в пользу работника) не исчисляются из материальной помощи в денежном</w:t>
            </w:r>
            <w:proofErr w:type="gramEnd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или натуральном выражении, оказываемой работодателем на протяжении года работникам или бывшим работникам по месту основной работы, в размере, не превышающем одной среднемесячной заработной платы по экономике, прогнозируемой на 2010 год и утверждённой Правительством.</w:t>
            </w:r>
            <w:proofErr w:type="gramEnd"/>
          </w:p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Настоящие разъяснения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могут быть применены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учреждениями, физическими и юридическими лицами, трудоустроенны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ми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на основании индивидуального трудового договора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которые используют оплачиваемый труд работников, а также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лицами, не являющимися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штатны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ми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работник</w:t>
            </w:r>
            <w:proofErr w:type="spell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ами</w:t>
            </w:r>
            <w:proofErr w:type="spellEnd"/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имеющими право выплачивать работникам материальную помощь в порядке, предусмотренном законодательством.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Работодатель,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оказывающий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работнику материальную помощь в денежном или натуральном выражении, начисляет обязательные взносы государственного социального страхования в размере, установленном в Законе о бюджете государственного социального страхования на сумму материальной помощи, превышающей размер одной среднемесячной заработной платы по экономике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2950 леев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 прогнозируемой на 2010 год, утверждённо</w:t>
            </w:r>
            <w:proofErr w:type="spell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й</w:t>
            </w:r>
            <w:proofErr w:type="spellEnd"/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Постановлением Правительства №773 от 27 ноября 2009 года.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В случае оказания материальной помощи в течение нескольких месяцев в году, при расчёте взносов из суммы материальной помощи вычитается сумма 2950 леев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 только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в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 первом месяце из всего периода начисления и выплаты. При расчёте обязательных взносов государственного социального страхования в последующие месяцы суммы материальной помощи учитываются целиком.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К примеру, работник учреждения получал материальную помощь в течение нескольких месяцев в году в размере, превышающем одну среднемесячную заработную плату по экономике (2950 леев). Взносы социального страхования начисляются и удерживаются следующим образом: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95"/>
              <w:gridCol w:w="2222"/>
              <w:gridCol w:w="2176"/>
              <w:gridCol w:w="2342"/>
            </w:tblGrid>
            <w:tr w:rsidR="00FC52B4" w:rsidRPr="00972C8F" w:rsidTr="00FC52B4">
              <w:tc>
                <w:tcPr>
                  <w:tcW w:w="27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708" w:right="175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Начисленная сумма материальной помощи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 (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 леях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)</w:t>
                  </w:r>
                </w:p>
              </w:tc>
              <w:tc>
                <w:tcPr>
                  <w:tcW w:w="2378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before="100" w:beforeAutospacing="1" w:after="100" w:afterAutospacing="1" w:line="270" w:lineRule="atLeast"/>
                    <w:ind w:hanging="18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Взносы социального страхования со стороны работодателя</w:t>
                  </w:r>
                </w:p>
                <w:p w:rsidR="00FC52B4" w:rsidRPr="00972C8F" w:rsidRDefault="00FC52B4" w:rsidP="00FC52B4">
                  <w:pPr>
                    <w:spacing w:before="100" w:beforeAutospacing="1" w:after="100" w:afterAutospacing="1" w:line="270" w:lineRule="atLeast"/>
                    <w:ind w:hanging="18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(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 леях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)</w:t>
                  </w:r>
                </w:p>
              </w:tc>
              <w:tc>
                <w:tcPr>
                  <w:tcW w:w="2454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Индивидуальные взнос</w:t>
                  </w:r>
                  <w:proofErr w:type="gramStart"/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ы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(</w:t>
                  </w:r>
                  <w:proofErr w:type="gramEnd"/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 леях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)</w:t>
                  </w:r>
                </w:p>
              </w:tc>
            </w:tr>
            <w:tr w:rsidR="00FC52B4" w:rsidRPr="00972C8F" w:rsidTr="00FC52B4">
              <w:tc>
                <w:tcPr>
                  <w:tcW w:w="2786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2385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3000</w:t>
                  </w:r>
                </w:p>
              </w:tc>
              <w:tc>
                <w:tcPr>
                  <w:tcW w:w="2378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11,5</w:t>
                  </w:r>
                </w:p>
              </w:tc>
              <w:tc>
                <w:tcPr>
                  <w:tcW w:w="245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3</w:t>
                  </w:r>
                </w:p>
              </w:tc>
            </w:tr>
            <w:tr w:rsidR="00FC52B4" w:rsidRPr="00972C8F" w:rsidTr="00FC52B4">
              <w:tc>
                <w:tcPr>
                  <w:tcW w:w="2786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 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Апрель</w:t>
                  </w:r>
                </w:p>
              </w:tc>
              <w:tc>
                <w:tcPr>
                  <w:tcW w:w="2385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4000</w:t>
                  </w:r>
                </w:p>
              </w:tc>
              <w:tc>
                <w:tcPr>
                  <w:tcW w:w="2378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920</w:t>
                  </w:r>
                </w:p>
              </w:tc>
              <w:tc>
                <w:tcPr>
                  <w:tcW w:w="245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240</w:t>
                  </w:r>
                </w:p>
              </w:tc>
            </w:tr>
            <w:tr w:rsidR="00FC52B4" w:rsidRPr="00972C8F" w:rsidTr="00FC52B4">
              <w:tc>
                <w:tcPr>
                  <w:tcW w:w="2786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           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Май</w:t>
                  </w:r>
                </w:p>
              </w:tc>
              <w:tc>
                <w:tcPr>
                  <w:tcW w:w="2385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3000</w:t>
                  </w:r>
                </w:p>
              </w:tc>
              <w:tc>
                <w:tcPr>
                  <w:tcW w:w="2378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690</w:t>
                  </w:r>
                </w:p>
              </w:tc>
              <w:tc>
                <w:tcPr>
                  <w:tcW w:w="245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180</w:t>
                  </w:r>
                </w:p>
              </w:tc>
            </w:tr>
            <w:tr w:rsidR="00FC52B4" w:rsidRPr="00972C8F" w:rsidTr="00FC52B4">
              <w:tc>
                <w:tcPr>
                  <w:tcW w:w="2786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Июнь</w:t>
                  </w:r>
                </w:p>
              </w:tc>
              <w:tc>
                <w:tcPr>
                  <w:tcW w:w="2385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2000</w:t>
                  </w:r>
                </w:p>
              </w:tc>
              <w:tc>
                <w:tcPr>
                  <w:tcW w:w="2378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460</w:t>
                  </w:r>
                </w:p>
              </w:tc>
              <w:tc>
                <w:tcPr>
                  <w:tcW w:w="245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120</w:t>
                  </w:r>
                </w:p>
              </w:tc>
            </w:tr>
          </w:tbl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При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оказании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материальной помощи в размере меньше 2950 леев, взносы государственного социального страхования не начисляются и не удерживаются.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В случае оказания материальной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 xml:space="preserve"> помощи в размере меньше 2950 леев в разные периоды 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(месяцы) в течение 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календарного года, взносы государственного социального страхования удерживаются после накопления суммы, равной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одной среднемесячной заработной плат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по экономике, прогнозируемой на 2010 год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54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К примеру,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работнику,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который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получа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л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материальную помощь в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размере меньше 2950 леев в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разные месяцы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в течение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года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взносы социального страхования начисляются следующим образом: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478"/>
              <w:gridCol w:w="2283"/>
              <w:gridCol w:w="2255"/>
              <w:gridCol w:w="2319"/>
            </w:tblGrid>
            <w:tr w:rsidR="00FC52B4" w:rsidRPr="00972C8F" w:rsidTr="00FC52B4">
              <w:tc>
                <w:tcPr>
                  <w:tcW w:w="26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Начисленная сумма материальной помощи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 (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 леях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)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before="100" w:beforeAutospacing="1" w:after="100" w:afterAutospacing="1" w:line="270" w:lineRule="atLeast"/>
                    <w:ind w:hanging="18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Взносы социального страхования работодателя</w:t>
                  </w:r>
                </w:p>
                <w:p w:rsidR="00FC52B4" w:rsidRPr="00972C8F" w:rsidRDefault="00FC52B4" w:rsidP="00FC52B4">
                  <w:pPr>
                    <w:spacing w:before="100" w:beforeAutospacing="1" w:after="100" w:afterAutospacing="1" w:line="270" w:lineRule="atLeast"/>
                    <w:ind w:hanging="18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(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 леях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)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Индивидуальные взнос</w:t>
                  </w:r>
                  <w:proofErr w:type="gramStart"/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ы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(</w:t>
                  </w:r>
                  <w:proofErr w:type="gramEnd"/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в леях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)</w:t>
                  </w:r>
                </w:p>
              </w:tc>
            </w:tr>
            <w:tr w:rsidR="00FC52B4" w:rsidRPr="00972C8F" w:rsidTr="00FC52B4">
              <w:tc>
                <w:tcPr>
                  <w:tcW w:w="2644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         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800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0</w:t>
                  </w:r>
                </w:p>
              </w:tc>
            </w:tr>
            <w:tr w:rsidR="00FC52B4" w:rsidRPr="00972C8F" w:rsidTr="00FC52B4">
              <w:tc>
                <w:tcPr>
                  <w:tcW w:w="2644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Апрель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700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0</w:t>
                  </w:r>
                </w:p>
              </w:tc>
            </w:tr>
            <w:tr w:rsidR="00FC52B4" w:rsidRPr="00972C8F" w:rsidTr="00FC52B4">
              <w:tc>
                <w:tcPr>
                  <w:tcW w:w="2644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         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Май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1200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0</w:t>
                  </w:r>
                </w:p>
              </w:tc>
            </w:tr>
            <w:tr w:rsidR="00FC52B4" w:rsidRPr="00972C8F" w:rsidTr="00FC52B4">
              <w:tc>
                <w:tcPr>
                  <w:tcW w:w="2644" w:type="dxa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         </w:t>
                  </w:r>
                  <w:r w:rsidRPr="00972C8F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</w:rPr>
                    <w:t>Июнь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2000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402,5</w:t>
                  </w:r>
                </w:p>
              </w:tc>
              <w:tc>
                <w:tcPr>
                  <w:tcW w:w="2393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52B4" w:rsidRPr="00972C8F" w:rsidRDefault="00FC52B4" w:rsidP="00FC52B4">
                  <w:pPr>
                    <w:spacing w:after="0" w:line="270" w:lineRule="atLeast"/>
                    <w:ind w:left="-180" w:right="17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72C8F">
                    <w:rPr>
                      <w:rFonts w:ascii="Arial" w:eastAsia="Times New Roman" w:hAnsi="Arial" w:cs="Arial"/>
                      <w:sz w:val="20"/>
                      <w:szCs w:val="20"/>
                      <w:lang w:val="ro-RO"/>
                    </w:rPr>
                    <w:t>105</w:t>
                  </w:r>
                </w:p>
              </w:tc>
            </w:tr>
          </w:tbl>
          <w:p w:rsidR="00FC52B4" w:rsidRPr="00972C8F" w:rsidRDefault="00FC52B4" w:rsidP="00FC52B4">
            <w:pPr>
              <w:spacing w:after="0" w:line="270" w:lineRule="atLeast"/>
              <w:ind w:left="-180" w:right="17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:rsidR="00FC52B4" w:rsidRPr="00972C8F" w:rsidRDefault="00FC52B4" w:rsidP="00FC52B4">
            <w:pPr>
              <w:spacing w:after="0" w:line="270" w:lineRule="atLeast"/>
              <w:ind w:left="-180" w:right="17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(800+700+1200+2000)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=4700</w:t>
            </w:r>
            <w:r w:rsidRPr="00972C8F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-2950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=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1750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леев</w:t>
            </w:r>
          </w:p>
          <w:p w:rsidR="00FC52B4" w:rsidRPr="00972C8F" w:rsidRDefault="00FC52B4" w:rsidP="00FC52B4">
            <w:pPr>
              <w:spacing w:after="0" w:line="270" w:lineRule="atLeast"/>
              <w:ind w:left="-180" w:right="17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1750x23%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=402,5</w:t>
            </w:r>
            <w:r w:rsidRPr="00972C8F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лея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      </w:t>
            </w:r>
            <w:r w:rsidRPr="00972C8F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1750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6%=105</w:t>
            </w:r>
            <w:r w:rsidRPr="00972C8F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леев</w:t>
            </w:r>
          </w:p>
          <w:p w:rsidR="00FC52B4" w:rsidRPr="00972C8F" w:rsidRDefault="00FC52B4" w:rsidP="00FC52B4">
            <w:pPr>
              <w:spacing w:after="0" w:line="270" w:lineRule="atLeast"/>
              <w:ind w:left="-180" w:right="175" w:firstLine="18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7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Сумм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материальной помощи, на которую начисляются взносы государственного социального страхования, включа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тся в месячный застрахованный доход, реализованный в соответствующий период и учитыва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тся при назначении пенсии и других социальных прав (пособи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по временной нетрудоспособности, ежемесячное пособие на 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ребёнка до 3 лет 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и др.).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7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При заполнении декларации по начислению и использованию взносов государственного социального страхования (форма 4 BASS) сумма материальной помощи,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оказываемая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работодателем работникам в течение года, на которую начисля</w:t>
            </w:r>
            <w:proofErr w:type="spell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ются</w:t>
            </w:r>
            <w:proofErr w:type="spellEnd"/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взносы государственного социального страхования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включается в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расчётную базу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для исчисления взносов 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в соответствии с 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установленными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тарифами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графа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proofErr w:type="spell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таб</w:t>
            </w:r>
            <w:proofErr w:type="spellEnd"/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.1).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7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При заполнении деклараци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застрахованн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ого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лиц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(форма REV 5) сумма материальной помощи, на которую начисля</w:t>
            </w:r>
            <w:proofErr w:type="spellStart"/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ются</w:t>
            </w:r>
            <w:proofErr w:type="spellEnd"/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взносы обязательного государственного социального страхования</w:t>
            </w:r>
            <w:r w:rsidRPr="00972C8F">
              <w:rPr>
                <w:rFonts w:ascii="Arial" w:eastAsia="Times New Roman" w:hAnsi="Arial" w:cs="Arial"/>
                <w:sz w:val="20"/>
                <w:lang w:val="ro-RO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отражается в графе 8 в том месяце, в котором она устанавливается.</w:t>
            </w:r>
          </w:p>
          <w:p w:rsidR="00FC52B4" w:rsidRPr="00972C8F" w:rsidRDefault="00FC52B4" w:rsidP="00FC52B4">
            <w:pPr>
              <w:spacing w:after="0" w:line="270" w:lineRule="atLeast"/>
              <w:ind w:right="175" w:firstLine="7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Оказание материальной помощи после увольнения работника отражается в декларации застрахованного лица в том месяце, в котором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она устанавливается (начисляется) 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с указанием категории застрахованного лица – 116 (лицо, уволенное на момент представления декларации).</w:t>
            </w:r>
            <w:r w:rsidRPr="00972C8F">
              <w:rPr>
                <w:rFonts w:ascii="Arial" w:eastAsia="Times New Roman" w:hAnsi="Arial" w:cs="Arial"/>
                <w:sz w:val="20"/>
              </w:rPr>
              <w:t> </w:t>
            </w:r>
            <w:r w:rsidRPr="00972C8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C52B4" w:rsidRPr="00972C8F" w:rsidRDefault="00FC52B4" w:rsidP="00FC52B4">
            <w:p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72C8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21.01.2010</w:t>
            </w:r>
          </w:p>
        </w:tc>
      </w:tr>
      <w:tr w:rsidR="00FC52B4" w:rsidRPr="00972C8F" w:rsidTr="00FC52B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FC52B4" w:rsidRPr="00972C8F" w:rsidRDefault="00FC52B4" w:rsidP="00FC52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52B4" w:rsidRPr="00972C8F" w:rsidTr="00FC52B4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2B4" w:rsidRPr="00972C8F" w:rsidRDefault="00FC52B4" w:rsidP="00F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52B4" w:rsidRPr="00972C8F" w:rsidRDefault="0028104E" w:rsidP="00FC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gramStart"/>
        <w:r w:rsidR="00FC52B4" w:rsidRPr="00972C8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Главная</w:t>
        </w:r>
        <w:proofErr w:type="gramEnd"/>
      </w:hyperlink>
      <w:r w:rsidR="00FC52B4" w:rsidRPr="00972C8F">
        <w:rPr>
          <w:rFonts w:ascii="Times New Roman" w:eastAsia="Times New Roman" w:hAnsi="Times New Roman" w:cs="Times New Roman"/>
          <w:sz w:val="24"/>
          <w:szCs w:val="24"/>
        </w:rPr>
        <w:t xml:space="preserve"> / Методические разъяснения о порядке применения пункта 2 приложения 5 к Закону о бюджете государственного социального страхования на 2010 год № 129- XVIII от 23 декабря 2009 года</w:t>
      </w:r>
    </w:p>
    <w:p w:rsidR="00F7261A" w:rsidRPr="00972C8F" w:rsidRDefault="00FC52B4" w:rsidP="00FC52B4">
      <w:r w:rsidRPr="00972C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9525"/>
            <wp:effectExtent l="0" t="0" r="0" b="0"/>
            <wp:docPr id="9" name="Рисунок 9" descr="http://www.cnas.md/img/v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nas.md/img/vid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61A" w:rsidRPr="00972C8F" w:rsidSect="0028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2B4"/>
    <w:rsid w:val="0028104E"/>
    <w:rsid w:val="00972C8F"/>
    <w:rsid w:val="00F7261A"/>
    <w:rsid w:val="00FC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2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52B4"/>
  </w:style>
  <w:style w:type="paragraph" w:styleId="a5">
    <w:name w:val="Balloon Text"/>
    <w:basedOn w:val="a"/>
    <w:link w:val="a6"/>
    <w:uiPriority w:val="99"/>
    <w:semiHidden/>
    <w:unhideWhenUsed/>
    <w:rsid w:val="00FC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s.md/print.php?l=ru&amp;idc=389&amp;id=11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cnas.md/index.php?l=ru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hyperlink" Target="http://www.cnas.md/pageview.php?l=ru&amp;idc=389&amp;" TargetMode="Externa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4561</Characters>
  <Application>Microsoft Office Word</Application>
  <DocSecurity>0</DocSecurity>
  <Lines>38</Lines>
  <Paragraphs>10</Paragraphs>
  <ScaleCrop>false</ScaleCrop>
  <Company>AMAC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Cutsurubenco_user</dc:creator>
  <cp:keywords/>
  <dc:description/>
  <cp:lastModifiedBy>Vitali_user</cp:lastModifiedBy>
  <cp:revision>4</cp:revision>
  <dcterms:created xsi:type="dcterms:W3CDTF">2012-02-17T12:22:00Z</dcterms:created>
  <dcterms:modified xsi:type="dcterms:W3CDTF">2012-02-21T13:38:00Z</dcterms:modified>
</cp:coreProperties>
</file>